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5279B49E" w:rsidR="009760FC" w:rsidRPr="00D052E9" w:rsidRDefault="009760FC" w:rsidP="00AF6FFB">
      <w:pPr>
        <w:pStyle w:val="3GPPHeader"/>
        <w:spacing w:after="60"/>
        <w:rPr>
          <w:szCs w:val="24"/>
          <w:highlight w:val="yellow"/>
          <w:lang w:val="en-US"/>
        </w:rPr>
      </w:pPr>
      <w:bookmarkStart w:id="0" w:name="_GoBack"/>
      <w:bookmarkEnd w:id="0"/>
      <w:r w:rsidRPr="008F2F4C">
        <w:rPr>
          <w:szCs w:val="24"/>
          <w:lang w:val="en-US"/>
        </w:rPr>
        <w:t>3GPP TSG-RAN WG2 #10</w:t>
      </w:r>
      <w:r w:rsidR="00AF6FFB" w:rsidRPr="008F2F4C">
        <w:rPr>
          <w:szCs w:val="24"/>
          <w:lang w:val="en-US"/>
        </w:rPr>
        <w:t>7</w:t>
      </w:r>
      <w:r w:rsidRPr="008F2F4C">
        <w:rPr>
          <w:szCs w:val="24"/>
          <w:lang w:val="en-US"/>
        </w:rPr>
        <w:tab/>
      </w:r>
      <w:r w:rsidR="008F2F4C" w:rsidRPr="00D052E9">
        <w:rPr>
          <w:szCs w:val="24"/>
          <w:lang w:val="en-US"/>
        </w:rPr>
        <w:t>R2-1909357</w:t>
      </w:r>
    </w:p>
    <w:p w14:paraId="5E88A5F8" w14:textId="4398C286" w:rsidR="006255E7" w:rsidRPr="008053EF" w:rsidRDefault="00AF6FFB" w:rsidP="00AF6FFB">
      <w:pPr>
        <w:pStyle w:val="CRCoverPage"/>
        <w:tabs>
          <w:tab w:val="right" w:pos="9630"/>
        </w:tabs>
        <w:jc w:val="both"/>
        <w:outlineLvl w:val="0"/>
        <w:rPr>
          <w:b/>
          <w:noProof/>
          <w:sz w:val="24"/>
          <w:lang w:val="en-US"/>
        </w:rPr>
      </w:pPr>
      <w:r w:rsidRPr="008053EF">
        <w:rPr>
          <w:b/>
          <w:noProof/>
          <w:sz w:val="24"/>
          <w:lang w:val="en-US"/>
        </w:rPr>
        <w:t>Prague, Czech Republic, 26</w:t>
      </w:r>
      <w:r w:rsidRPr="008053EF">
        <w:rPr>
          <w:b/>
          <w:noProof/>
          <w:sz w:val="24"/>
          <w:vertAlign w:val="superscript"/>
          <w:lang w:val="en-US"/>
        </w:rPr>
        <w:t>th</w:t>
      </w:r>
      <w:r w:rsidRPr="008053EF">
        <w:rPr>
          <w:b/>
          <w:noProof/>
          <w:sz w:val="24"/>
          <w:lang w:val="en-US"/>
        </w:rPr>
        <w:t xml:space="preserve"> - 30</w:t>
      </w:r>
      <w:r w:rsidRPr="008053EF">
        <w:rPr>
          <w:b/>
          <w:noProof/>
          <w:sz w:val="24"/>
          <w:vertAlign w:val="superscript"/>
          <w:lang w:val="en-US"/>
        </w:rPr>
        <w:t>th</w:t>
      </w:r>
      <w:r w:rsidRPr="008053EF">
        <w:rPr>
          <w:b/>
          <w:noProof/>
          <w:sz w:val="24"/>
          <w:lang w:val="en-US"/>
        </w:rPr>
        <w:t xml:space="preserve"> August 2019</w:t>
      </w:r>
      <w:r w:rsidR="00701B44" w:rsidRPr="008053EF">
        <w:rPr>
          <w:b/>
          <w:noProof/>
          <w:sz w:val="24"/>
          <w:lang w:val="en-US"/>
        </w:rPr>
        <w:tab/>
      </w:r>
      <w:r w:rsidR="00F37A85" w:rsidRPr="00072CF0">
        <w:rPr>
          <w:b/>
          <w:noProof/>
          <w:lang w:val="en-US"/>
        </w:rPr>
        <w:t xml:space="preserve">Revision of </w:t>
      </w:r>
      <w:r w:rsidR="0064630D" w:rsidRPr="00072CF0">
        <w:rPr>
          <w:b/>
          <w:noProof/>
          <w:lang w:val="en-US"/>
        </w:rPr>
        <w:t>R2-1907587</w:t>
      </w:r>
    </w:p>
    <w:p w14:paraId="3B540F75" w14:textId="77777777" w:rsidR="00E90E49" w:rsidRPr="008053EF" w:rsidRDefault="00E90E49" w:rsidP="00357380">
      <w:pPr>
        <w:pStyle w:val="3GPPHeader"/>
        <w:rPr>
          <w:lang w:val="en-US"/>
        </w:rPr>
      </w:pPr>
    </w:p>
    <w:p w14:paraId="22E1D8B8" w14:textId="607866B8" w:rsidR="00E90E49" w:rsidRPr="008053EF" w:rsidRDefault="00E90E49" w:rsidP="00311702">
      <w:pPr>
        <w:pStyle w:val="3GPPHeader"/>
        <w:rPr>
          <w:sz w:val="22"/>
          <w:szCs w:val="22"/>
          <w:lang w:val="en-US"/>
        </w:rPr>
      </w:pPr>
      <w:r w:rsidRPr="008053EF">
        <w:rPr>
          <w:sz w:val="22"/>
          <w:szCs w:val="22"/>
          <w:lang w:val="en-US"/>
        </w:rPr>
        <w:t>Agenda Item:</w:t>
      </w:r>
      <w:r w:rsidRPr="008053EF">
        <w:rPr>
          <w:sz w:val="22"/>
          <w:szCs w:val="22"/>
          <w:lang w:val="en-US"/>
        </w:rPr>
        <w:tab/>
      </w:r>
      <w:r w:rsidR="00CD34C6" w:rsidRPr="008053EF">
        <w:rPr>
          <w:sz w:val="22"/>
          <w:szCs w:val="22"/>
          <w:lang w:val="en-US"/>
        </w:rPr>
        <w:t>11.2.</w:t>
      </w:r>
      <w:r w:rsidR="00552B94" w:rsidRPr="008053EF">
        <w:rPr>
          <w:sz w:val="22"/>
          <w:szCs w:val="22"/>
          <w:lang w:val="en-US"/>
        </w:rPr>
        <w:t>3</w:t>
      </w:r>
    </w:p>
    <w:p w14:paraId="4D43BCD2" w14:textId="77777777" w:rsidR="00E90E49" w:rsidRPr="008053EF" w:rsidRDefault="003D3C45" w:rsidP="00F64C2B">
      <w:pPr>
        <w:pStyle w:val="3GPPHeader"/>
        <w:rPr>
          <w:sz w:val="22"/>
          <w:szCs w:val="22"/>
          <w:lang w:val="en-US"/>
        </w:rPr>
      </w:pPr>
      <w:r w:rsidRPr="008053EF">
        <w:rPr>
          <w:sz w:val="22"/>
          <w:szCs w:val="22"/>
          <w:lang w:val="en-US"/>
        </w:rPr>
        <w:t>Source:</w:t>
      </w:r>
      <w:r w:rsidR="00E90E49" w:rsidRPr="008053EF">
        <w:rPr>
          <w:sz w:val="22"/>
          <w:szCs w:val="22"/>
          <w:lang w:val="en-US"/>
        </w:rPr>
        <w:tab/>
      </w:r>
      <w:r w:rsidR="00F64C2B" w:rsidRPr="008053EF">
        <w:rPr>
          <w:sz w:val="22"/>
          <w:szCs w:val="22"/>
          <w:lang w:val="en-US"/>
        </w:rPr>
        <w:t>Ericsson</w:t>
      </w:r>
    </w:p>
    <w:p w14:paraId="3AAFA40C" w14:textId="4DB3A5C8" w:rsidR="00E90E49" w:rsidRPr="008053EF" w:rsidRDefault="003D3C45" w:rsidP="00311702">
      <w:pPr>
        <w:pStyle w:val="3GPPHeader"/>
        <w:rPr>
          <w:sz w:val="22"/>
          <w:szCs w:val="22"/>
          <w:lang w:val="en-US"/>
        </w:rPr>
      </w:pPr>
      <w:r w:rsidRPr="008053EF">
        <w:rPr>
          <w:sz w:val="22"/>
          <w:szCs w:val="22"/>
          <w:lang w:val="en-US"/>
        </w:rPr>
        <w:t>Title:</w:t>
      </w:r>
      <w:r w:rsidR="00E90E49" w:rsidRPr="008053EF">
        <w:rPr>
          <w:sz w:val="22"/>
          <w:szCs w:val="22"/>
          <w:lang w:val="en-US"/>
        </w:rPr>
        <w:tab/>
      </w:r>
      <w:r w:rsidR="00F06DC2" w:rsidRPr="008053EF">
        <w:rPr>
          <w:sz w:val="22"/>
          <w:szCs w:val="22"/>
          <w:lang w:val="en-US"/>
        </w:rPr>
        <w:t>Managing PCI collision</w:t>
      </w:r>
      <w:r w:rsidR="00A71B76" w:rsidRPr="008053EF">
        <w:rPr>
          <w:sz w:val="22"/>
          <w:szCs w:val="22"/>
          <w:lang w:val="en-US"/>
        </w:rPr>
        <w:t>s in NR-U</w:t>
      </w:r>
    </w:p>
    <w:p w14:paraId="7F353F71" w14:textId="77777777" w:rsidR="00E90E49" w:rsidRPr="008053EF" w:rsidRDefault="00E90E49" w:rsidP="00D546FF">
      <w:pPr>
        <w:pStyle w:val="3GPPHeader"/>
        <w:rPr>
          <w:sz w:val="22"/>
          <w:szCs w:val="22"/>
          <w:lang w:val="en-US"/>
        </w:rPr>
      </w:pPr>
      <w:r w:rsidRPr="008053EF">
        <w:rPr>
          <w:sz w:val="22"/>
          <w:szCs w:val="22"/>
          <w:lang w:val="en-US"/>
        </w:rPr>
        <w:t>Document for:</w:t>
      </w:r>
      <w:r w:rsidRPr="008053EF">
        <w:rPr>
          <w:sz w:val="22"/>
          <w:szCs w:val="22"/>
          <w:lang w:val="en-US"/>
        </w:rPr>
        <w:tab/>
        <w:t>Discussion, Decision</w:t>
      </w:r>
    </w:p>
    <w:p w14:paraId="14E4DA44" w14:textId="77777777" w:rsidR="00E90E49" w:rsidRPr="008053EF" w:rsidRDefault="00230D18" w:rsidP="00CE0424">
      <w:pPr>
        <w:pStyle w:val="Heading1"/>
        <w:rPr>
          <w:lang w:val="en-US"/>
        </w:rPr>
      </w:pPr>
      <w:r w:rsidRPr="008053EF">
        <w:rPr>
          <w:lang w:val="en-US"/>
        </w:rPr>
        <w:t>1</w:t>
      </w:r>
      <w:r w:rsidRPr="008053EF">
        <w:rPr>
          <w:lang w:val="en-US"/>
        </w:rPr>
        <w:tab/>
      </w:r>
      <w:r w:rsidR="00E90E49" w:rsidRPr="008053EF">
        <w:rPr>
          <w:lang w:val="en-US"/>
        </w:rPr>
        <w:t>Introduction</w:t>
      </w:r>
    </w:p>
    <w:p w14:paraId="33D8B4EF" w14:textId="77777777" w:rsidR="00AF6FFB" w:rsidRPr="008053EF" w:rsidRDefault="00631B1F" w:rsidP="00C86EE5">
      <w:pPr>
        <w:pStyle w:val="BodyText"/>
        <w:rPr>
          <w:lang w:val="en-US"/>
        </w:rPr>
      </w:pPr>
      <w:r w:rsidRPr="008053EF">
        <w:rPr>
          <w:lang w:val="en-US"/>
        </w:rPr>
        <w:t xml:space="preserve">PCI collisions, i.e. different cells using the same PCI in a local area, are known to cause problems and should be avoided. </w:t>
      </w:r>
    </w:p>
    <w:p w14:paraId="68200218" w14:textId="77777777" w:rsidR="00AF6FFB" w:rsidRPr="008053EF" w:rsidRDefault="00AF6FFB" w:rsidP="00AF6FFB">
      <w:pPr>
        <w:rPr>
          <w:rFonts w:cs="Arial"/>
          <w:lang w:val="en-US"/>
        </w:rPr>
      </w:pPr>
      <w:r w:rsidRPr="008053EF">
        <w:rPr>
          <w:rFonts w:cs="Arial"/>
          <w:lang w:val="en-US"/>
        </w:rPr>
        <w:t>Section 7.2.2.3.1 in TR 38.889 also states:</w:t>
      </w:r>
    </w:p>
    <w:p w14:paraId="2EFD37B9" w14:textId="77777777" w:rsidR="00AF6FFB" w:rsidRPr="008053EF" w:rsidRDefault="00AF6FFB" w:rsidP="00AF6FFB">
      <w:pPr>
        <w:rPr>
          <w:lang w:val="en-US" w:eastAsia="x-none"/>
        </w:rPr>
      </w:pPr>
      <w:r w:rsidRPr="008053EF">
        <w:rPr>
          <w:rFonts w:cs="Arial"/>
          <w:lang w:val="en-US"/>
        </w:rPr>
        <w:t>“</w:t>
      </w:r>
      <w:r w:rsidRPr="008053EF">
        <w:rPr>
          <w:i/>
          <w:color w:val="2F5496" w:themeColor="accent1" w:themeShade="BF"/>
          <w:lang w:val="en-US" w:eastAsia="x-none"/>
        </w:rPr>
        <w:t xml:space="preserve">In unlicensed spectrum, multiple PLMNs from different operators can share the same channel and coordination between different operators may not happen. This may cause PCI collisions or confusion. As one possible solution, the </w:t>
      </w:r>
      <w:proofErr w:type="spellStart"/>
      <w:r w:rsidRPr="008053EF">
        <w:rPr>
          <w:i/>
          <w:color w:val="2F5496" w:themeColor="accent1" w:themeShade="BF"/>
          <w:lang w:val="en-US" w:eastAsia="x-none"/>
        </w:rPr>
        <w:t>gNBs</w:t>
      </w:r>
      <w:proofErr w:type="spellEnd"/>
      <w:r w:rsidRPr="008053EF">
        <w:rPr>
          <w:i/>
          <w:color w:val="2F5496" w:themeColor="accent1" w:themeShade="BF"/>
          <w:lang w:val="en-US" w:eastAsia="x-none"/>
        </w:rPr>
        <w:t xml:space="preserve"> can scan different frequencies to identify the PCIs of </w:t>
      </w:r>
      <w:proofErr w:type="spellStart"/>
      <w:r w:rsidRPr="008053EF">
        <w:rPr>
          <w:i/>
          <w:color w:val="2F5496" w:themeColor="accent1" w:themeShade="BF"/>
          <w:lang w:val="en-US" w:eastAsia="x-none"/>
        </w:rPr>
        <w:t>neighbour</w:t>
      </w:r>
      <w:proofErr w:type="spellEnd"/>
      <w:r w:rsidRPr="008053EF">
        <w:rPr>
          <w:i/>
          <w:color w:val="2F5496" w:themeColor="accent1" w:themeShade="BF"/>
          <w:lang w:val="en-US" w:eastAsia="x-none"/>
        </w:rPr>
        <w:t xml:space="preserve"> cells and use this information in setting the PCIs of their own cells in order to avoid PCI collisions. In addition, ANR can be used, as in NR licensed, to detect and solve PCI collision and confusion.</w:t>
      </w:r>
      <w:r w:rsidRPr="008053EF">
        <w:rPr>
          <w:rFonts w:cs="Arial"/>
          <w:lang w:val="en-US"/>
        </w:rPr>
        <w:t>”</w:t>
      </w:r>
    </w:p>
    <w:p w14:paraId="0FDCB57F" w14:textId="1E4A26AB" w:rsidR="00C86EE5" w:rsidRPr="008053EF" w:rsidRDefault="001C772F" w:rsidP="00C86EE5">
      <w:pPr>
        <w:pStyle w:val="BodyText"/>
        <w:rPr>
          <w:lang w:val="en-US"/>
        </w:rPr>
      </w:pPr>
      <w:r w:rsidRPr="008053EF">
        <w:rPr>
          <w:lang w:val="en-US"/>
        </w:rPr>
        <w:t xml:space="preserve">Mechanisms that may be used </w:t>
      </w:r>
      <w:r w:rsidR="00AF6FFB" w:rsidRPr="008053EF">
        <w:rPr>
          <w:lang w:val="en-US"/>
        </w:rPr>
        <w:t xml:space="preserve">in NR-U </w:t>
      </w:r>
      <w:r w:rsidRPr="008053EF">
        <w:rPr>
          <w:lang w:val="en-US"/>
        </w:rPr>
        <w:t>for</w:t>
      </w:r>
      <w:r w:rsidR="006B1024" w:rsidRPr="008053EF">
        <w:rPr>
          <w:lang w:val="en-US"/>
        </w:rPr>
        <w:t xml:space="preserve"> this</w:t>
      </w:r>
      <w:r w:rsidRPr="008053EF">
        <w:rPr>
          <w:lang w:val="en-US"/>
        </w:rPr>
        <w:t xml:space="preserve"> purpose </w:t>
      </w:r>
      <w:r w:rsidR="00631B1F" w:rsidRPr="008053EF">
        <w:rPr>
          <w:lang w:val="en-US"/>
        </w:rPr>
        <w:t>are discussed in this document.</w:t>
      </w:r>
    </w:p>
    <w:p w14:paraId="5D0E3B2A" w14:textId="29F4C528" w:rsidR="004000E8" w:rsidRPr="008053EF" w:rsidRDefault="00230D18" w:rsidP="00CE0424">
      <w:pPr>
        <w:pStyle w:val="Heading1"/>
        <w:rPr>
          <w:lang w:val="en-US"/>
        </w:rPr>
      </w:pPr>
      <w:bookmarkStart w:id="1" w:name="_Ref178064866"/>
      <w:r w:rsidRPr="008053EF">
        <w:rPr>
          <w:lang w:val="en-US"/>
        </w:rPr>
        <w:t>2</w:t>
      </w:r>
      <w:r w:rsidRPr="008053EF">
        <w:rPr>
          <w:lang w:val="en-US"/>
        </w:rPr>
        <w:tab/>
      </w:r>
      <w:r w:rsidR="004000E8" w:rsidRPr="008053EF">
        <w:rPr>
          <w:lang w:val="en-US"/>
        </w:rPr>
        <w:t>Discussion</w:t>
      </w:r>
      <w:bookmarkEnd w:id="1"/>
    </w:p>
    <w:p w14:paraId="297CAA37" w14:textId="40B4C809" w:rsidR="00805356" w:rsidRPr="008053EF" w:rsidRDefault="00631B1F" w:rsidP="002E2BDA">
      <w:pPr>
        <w:rPr>
          <w:rFonts w:cs="Arial"/>
          <w:lang w:val="en-US"/>
        </w:rPr>
      </w:pPr>
      <w:r w:rsidRPr="008053EF">
        <w:rPr>
          <w:rFonts w:cs="Arial"/>
          <w:lang w:val="en-US"/>
        </w:rPr>
        <w:t xml:space="preserve">As stated above, PCI collisions are known to cause problems, such as handover failure, and means should be provided to avoid them. Such means include means for detection and resolution of PCI collisions. To resolve a PCI collision one of the colliding cells </w:t>
      </w:r>
      <w:r w:rsidR="00046684" w:rsidRPr="008053EF">
        <w:rPr>
          <w:rFonts w:cs="Arial"/>
          <w:lang w:val="en-US"/>
        </w:rPr>
        <w:t>must</w:t>
      </w:r>
      <w:r w:rsidRPr="008053EF">
        <w:rPr>
          <w:rFonts w:cs="Arial"/>
          <w:lang w:val="en-US"/>
        </w:rPr>
        <w:t xml:space="preserve"> change its PCI. </w:t>
      </w:r>
    </w:p>
    <w:p w14:paraId="031C48C3" w14:textId="30028C72" w:rsidR="00426226" w:rsidRPr="008053EF" w:rsidRDefault="00A449D1" w:rsidP="0012239C">
      <w:pPr>
        <w:rPr>
          <w:rFonts w:cs="Arial"/>
          <w:lang w:val="en-US"/>
        </w:rPr>
      </w:pPr>
      <w:r w:rsidRPr="008053EF">
        <w:rPr>
          <w:rFonts w:cs="Arial"/>
          <w:lang w:val="en-US"/>
        </w:rPr>
        <w:t xml:space="preserve">In </w:t>
      </w:r>
      <w:r w:rsidR="00426226" w:rsidRPr="008053EF">
        <w:rPr>
          <w:rFonts w:cs="Arial"/>
          <w:lang w:val="en-US"/>
        </w:rPr>
        <w:t xml:space="preserve">NR-U </w:t>
      </w:r>
      <w:r w:rsidRPr="008053EF">
        <w:rPr>
          <w:rFonts w:cs="Arial"/>
          <w:lang w:val="en-US"/>
        </w:rPr>
        <w:t xml:space="preserve">different </w:t>
      </w:r>
      <w:r w:rsidR="00426226" w:rsidRPr="008053EF">
        <w:rPr>
          <w:rFonts w:cs="Arial"/>
          <w:lang w:val="en-US"/>
        </w:rPr>
        <w:t>operators may operate in the same unlicensed frequency band</w:t>
      </w:r>
      <w:r w:rsidRPr="008053EF">
        <w:rPr>
          <w:rFonts w:cs="Arial"/>
          <w:lang w:val="en-US"/>
        </w:rPr>
        <w:t>, resulting in multiple PLMNs sharing the same frequencies</w:t>
      </w:r>
      <w:r w:rsidR="00426226" w:rsidRPr="008053EF">
        <w:rPr>
          <w:rFonts w:cs="Arial"/>
          <w:lang w:val="en-US"/>
        </w:rPr>
        <w:t xml:space="preserve">. This prevents use of central coordination of PCI changes </w:t>
      </w:r>
      <w:proofErr w:type="gramStart"/>
      <w:r w:rsidR="00426226" w:rsidRPr="008053EF">
        <w:rPr>
          <w:rFonts w:cs="Arial"/>
          <w:lang w:val="en-US"/>
        </w:rPr>
        <w:t>and also</w:t>
      </w:r>
      <w:proofErr w:type="gramEnd"/>
      <w:r w:rsidR="00426226" w:rsidRPr="008053EF">
        <w:rPr>
          <w:rFonts w:cs="Arial"/>
          <w:lang w:val="en-US"/>
        </w:rPr>
        <w:t xml:space="preserve"> prohibits</w:t>
      </w:r>
      <w:r w:rsidR="005F6096" w:rsidRPr="008053EF">
        <w:rPr>
          <w:rFonts w:cs="Arial"/>
          <w:lang w:val="en-US"/>
        </w:rPr>
        <w:t xml:space="preserve"> use of inter-gNB communication as a general tool. </w:t>
      </w:r>
    </w:p>
    <w:p w14:paraId="7E70B82D" w14:textId="2C2E98B6" w:rsidR="008053EF" w:rsidRPr="008053EF" w:rsidRDefault="008053EF" w:rsidP="008053EF">
      <w:pPr>
        <w:rPr>
          <w:rFonts w:cs="Arial"/>
          <w:lang w:val="en-US"/>
        </w:rPr>
      </w:pPr>
      <w:r w:rsidRPr="008053EF">
        <w:rPr>
          <w:rFonts w:cs="Arial"/>
          <w:lang w:val="en-US"/>
        </w:rPr>
        <w:t xml:space="preserve">However, </w:t>
      </w:r>
      <w:proofErr w:type="spellStart"/>
      <w:r w:rsidRPr="008053EF">
        <w:rPr>
          <w:rFonts w:cs="Arial"/>
          <w:lang w:val="en-US"/>
        </w:rPr>
        <w:t>gNBs</w:t>
      </w:r>
      <w:proofErr w:type="spellEnd"/>
      <w:r w:rsidRPr="008053EF">
        <w:rPr>
          <w:rFonts w:cs="Arial"/>
          <w:lang w:val="en-US"/>
        </w:rPr>
        <w:t xml:space="preserve"> can try to avoid PCI collisions by scanning </w:t>
      </w:r>
      <w:r>
        <w:rPr>
          <w:rFonts w:cs="Arial"/>
          <w:lang w:val="en-US"/>
        </w:rPr>
        <w:t xml:space="preserve">specific </w:t>
      </w:r>
      <w:r w:rsidRPr="008053EF">
        <w:rPr>
          <w:rFonts w:cs="Arial"/>
          <w:lang w:val="en-US"/>
        </w:rPr>
        <w:t>PCI</w:t>
      </w:r>
      <w:r>
        <w:rPr>
          <w:rFonts w:cs="Arial"/>
          <w:lang w:val="en-US"/>
        </w:rPr>
        <w:t>s</w:t>
      </w:r>
      <w:r w:rsidRPr="008053EF">
        <w:rPr>
          <w:rFonts w:cs="Arial"/>
          <w:lang w:val="en-US"/>
        </w:rPr>
        <w:t xml:space="preserve"> of neighboring cells</w:t>
      </w:r>
      <w:r>
        <w:rPr>
          <w:rFonts w:cs="Arial"/>
          <w:lang w:val="en-US"/>
        </w:rPr>
        <w:t xml:space="preserve"> prior to operating a certain cell with a specific PCI.</w:t>
      </w:r>
    </w:p>
    <w:p w14:paraId="5327273C" w14:textId="14EB64D1" w:rsidR="0046593C" w:rsidRPr="008053EF" w:rsidRDefault="00A2611B" w:rsidP="00BD24D9">
      <w:pPr>
        <w:pStyle w:val="Observation"/>
        <w:rPr>
          <w:lang w:val="en-US"/>
        </w:rPr>
      </w:pPr>
      <w:bookmarkStart w:id="2" w:name="_Toc16593799"/>
      <w:proofErr w:type="spellStart"/>
      <w:r w:rsidRPr="008053EF">
        <w:rPr>
          <w:lang w:val="en-US"/>
        </w:rPr>
        <w:t>gNBs</w:t>
      </w:r>
      <w:proofErr w:type="spellEnd"/>
      <w:r w:rsidRPr="008053EF">
        <w:rPr>
          <w:lang w:val="en-US"/>
        </w:rPr>
        <w:t xml:space="preserve"> scanning for PCIs of neighboring cells</w:t>
      </w:r>
      <w:r w:rsidR="0046593C" w:rsidRPr="008053EF">
        <w:rPr>
          <w:lang w:val="en-US"/>
        </w:rPr>
        <w:t xml:space="preserve"> can be used to avoid PCI conflicts</w:t>
      </w:r>
      <w:r w:rsidR="00027CA3" w:rsidRPr="008053EF">
        <w:rPr>
          <w:lang w:val="en-US"/>
        </w:rPr>
        <w:t>.</w:t>
      </w:r>
      <w:bookmarkEnd w:id="2"/>
    </w:p>
    <w:p w14:paraId="45304558" w14:textId="5F45AE4C" w:rsidR="008053EF" w:rsidRDefault="008053EF" w:rsidP="00061065">
      <w:pPr>
        <w:rPr>
          <w:rFonts w:cs="Arial"/>
          <w:lang w:val="en-US"/>
        </w:rPr>
      </w:pPr>
      <w:bookmarkStart w:id="3" w:name="_Hlk503258975"/>
      <w:proofErr w:type="gramStart"/>
      <w:r>
        <w:rPr>
          <w:rFonts w:cs="Arial"/>
          <w:lang w:val="en-US"/>
        </w:rPr>
        <w:t>Specifically</w:t>
      </w:r>
      <w:proofErr w:type="gramEnd"/>
      <w:r>
        <w:rPr>
          <w:rFonts w:cs="Arial"/>
          <w:lang w:val="en-US"/>
        </w:rPr>
        <w:t xml:space="preserve"> f</w:t>
      </w:r>
      <w:r w:rsidR="00061065" w:rsidRPr="008053EF">
        <w:rPr>
          <w:rFonts w:cs="Arial"/>
          <w:lang w:val="en-US"/>
        </w:rPr>
        <w:t xml:space="preserve">or initial deployments, PCI collisions can be considered to be rare. </w:t>
      </w:r>
      <w:r>
        <w:rPr>
          <w:rFonts w:cs="Arial"/>
          <w:lang w:val="en-US"/>
        </w:rPr>
        <w:t xml:space="preserve">However, neighboring </w:t>
      </w:r>
      <w:proofErr w:type="spellStart"/>
      <w:r>
        <w:rPr>
          <w:rFonts w:cs="Arial"/>
          <w:lang w:val="en-US"/>
        </w:rPr>
        <w:t>gNBs</w:t>
      </w:r>
      <w:proofErr w:type="spellEnd"/>
      <w:r>
        <w:rPr>
          <w:rFonts w:cs="Arial"/>
          <w:lang w:val="en-US"/>
        </w:rPr>
        <w:t xml:space="preserve"> may not have the same scanning range as the UEs they serve</w:t>
      </w:r>
      <w:r w:rsidR="00C25269">
        <w:rPr>
          <w:rFonts w:cs="Arial"/>
          <w:lang w:val="en-US"/>
        </w:rPr>
        <w:t>,</w:t>
      </w:r>
      <w:r>
        <w:rPr>
          <w:rFonts w:cs="Arial"/>
          <w:lang w:val="en-US"/>
        </w:rPr>
        <w:t xml:space="preserve"> such that PCI collisions may still occur. </w:t>
      </w:r>
    </w:p>
    <w:p w14:paraId="2A89F4F3" w14:textId="5C43E788" w:rsidR="00061065" w:rsidRPr="008053EF" w:rsidRDefault="00061065" w:rsidP="00061065">
      <w:pPr>
        <w:rPr>
          <w:rFonts w:cs="Arial"/>
          <w:lang w:val="en-US"/>
        </w:rPr>
      </w:pPr>
      <w:r w:rsidRPr="008053EF">
        <w:rPr>
          <w:rFonts w:cs="Arial"/>
          <w:lang w:val="en-US"/>
        </w:rPr>
        <w:t>Existing mechanisms to detect PCI collisions should be sufficient</w:t>
      </w:r>
      <w:r w:rsidR="005059A9">
        <w:rPr>
          <w:rFonts w:cs="Arial"/>
          <w:lang w:val="en-US"/>
        </w:rPr>
        <w:t xml:space="preserve"> as indicated in </w:t>
      </w:r>
      <w:r w:rsidR="005059A9">
        <w:rPr>
          <w:rFonts w:cs="Arial"/>
          <w:lang w:val="en-US"/>
        </w:rPr>
        <w:fldChar w:fldCharType="begin"/>
      </w:r>
      <w:r w:rsidR="005059A9">
        <w:rPr>
          <w:rFonts w:cs="Arial"/>
          <w:lang w:val="en-US"/>
        </w:rPr>
        <w:instrText xml:space="preserve"> REF _Ref13837162 \r \h </w:instrText>
      </w:r>
      <w:r w:rsidR="005059A9">
        <w:rPr>
          <w:rFonts w:cs="Arial"/>
          <w:lang w:val="en-US"/>
        </w:rPr>
      </w:r>
      <w:r w:rsidR="005059A9">
        <w:rPr>
          <w:rFonts w:cs="Arial"/>
          <w:lang w:val="en-US"/>
        </w:rPr>
        <w:fldChar w:fldCharType="separate"/>
      </w:r>
      <w:r w:rsidR="005059A9">
        <w:rPr>
          <w:rFonts w:cs="Arial"/>
          <w:lang w:val="en-US"/>
        </w:rPr>
        <w:t>[1]</w:t>
      </w:r>
      <w:r w:rsidR="005059A9">
        <w:rPr>
          <w:rFonts w:cs="Arial"/>
          <w:lang w:val="en-US"/>
        </w:rPr>
        <w:fldChar w:fldCharType="end"/>
      </w:r>
      <w:r w:rsidRPr="008053EF">
        <w:rPr>
          <w:rFonts w:cs="Arial"/>
          <w:lang w:val="en-US"/>
        </w:rPr>
        <w:t>. In NR Rel-15, the gNB can configure UEs in RRC_CONNECTED</w:t>
      </w:r>
      <w:r w:rsidR="00C25269">
        <w:rPr>
          <w:rFonts w:cs="Arial"/>
          <w:lang w:val="en-US"/>
        </w:rPr>
        <w:t xml:space="preserve"> state</w:t>
      </w:r>
      <w:r w:rsidRPr="008053EF">
        <w:rPr>
          <w:rFonts w:cs="Arial"/>
          <w:lang w:val="en-US"/>
        </w:rPr>
        <w:t xml:space="preserve"> to report the cell global identifier (CGI) for a cell with a certain PCI using </w:t>
      </w:r>
      <w:proofErr w:type="spellStart"/>
      <w:r w:rsidRPr="008053EF">
        <w:rPr>
          <w:rFonts w:cs="Arial"/>
          <w:i/>
          <w:lang w:val="en-US"/>
        </w:rPr>
        <w:t>ReportConfigNR</w:t>
      </w:r>
      <w:proofErr w:type="spellEnd"/>
      <w:r w:rsidRPr="008053EF">
        <w:rPr>
          <w:rFonts w:cs="Arial"/>
          <w:lang w:val="en-US"/>
        </w:rPr>
        <w:t xml:space="preserve">. The reported CGI contains the PLMN ID and a cell ID which is unique within the PLMN. </w:t>
      </w:r>
    </w:p>
    <w:p w14:paraId="0986D84F" w14:textId="77777777" w:rsidR="00061065" w:rsidRPr="008053EF" w:rsidRDefault="00061065" w:rsidP="00263A9E">
      <w:pPr>
        <w:pStyle w:val="PL"/>
        <w:keepNext/>
        <w:keepLines/>
        <w:rPr>
          <w:lang w:val="en-US"/>
        </w:rPr>
      </w:pPr>
      <w:r w:rsidRPr="008053EF">
        <w:rPr>
          <w:lang w:val="en-US"/>
        </w:rPr>
        <w:lastRenderedPageBreak/>
        <w:t xml:space="preserve">ReportConfigNR ::=                          </w:t>
      </w:r>
      <w:r w:rsidRPr="008053EF">
        <w:rPr>
          <w:color w:val="993366"/>
          <w:lang w:val="en-US"/>
        </w:rPr>
        <w:t>SEQUENCE</w:t>
      </w:r>
      <w:r w:rsidRPr="008053EF">
        <w:rPr>
          <w:lang w:val="en-US"/>
        </w:rPr>
        <w:t xml:space="preserve"> {</w:t>
      </w:r>
    </w:p>
    <w:p w14:paraId="152513DC" w14:textId="77777777" w:rsidR="00061065" w:rsidRPr="008053EF" w:rsidRDefault="00061065" w:rsidP="00263A9E">
      <w:pPr>
        <w:pStyle w:val="PL"/>
        <w:keepNext/>
        <w:keepLines/>
        <w:rPr>
          <w:lang w:val="en-US"/>
        </w:rPr>
      </w:pPr>
      <w:r w:rsidRPr="008053EF">
        <w:rPr>
          <w:lang w:val="en-US"/>
        </w:rPr>
        <w:t xml:space="preserve">    reportType                                  </w:t>
      </w:r>
      <w:r w:rsidRPr="008053EF">
        <w:rPr>
          <w:color w:val="993366"/>
          <w:lang w:val="en-US"/>
        </w:rPr>
        <w:t>CHOICE</w:t>
      </w:r>
      <w:r w:rsidRPr="008053EF">
        <w:rPr>
          <w:lang w:val="en-US"/>
        </w:rPr>
        <w:t xml:space="preserve"> {</w:t>
      </w:r>
    </w:p>
    <w:p w14:paraId="4A77AB80" w14:textId="77777777" w:rsidR="00061065" w:rsidRPr="008053EF" w:rsidRDefault="00061065" w:rsidP="00263A9E">
      <w:pPr>
        <w:pStyle w:val="PL"/>
        <w:keepNext/>
        <w:keepLines/>
        <w:rPr>
          <w:lang w:val="en-US"/>
        </w:rPr>
      </w:pPr>
      <w:r w:rsidRPr="008053EF">
        <w:rPr>
          <w:lang w:val="en-US"/>
        </w:rPr>
        <w:t xml:space="preserve">        periodical                                  PeriodicalReportConfig,</w:t>
      </w:r>
    </w:p>
    <w:p w14:paraId="6BFB1966" w14:textId="77777777" w:rsidR="00061065" w:rsidRPr="008053EF" w:rsidRDefault="00061065" w:rsidP="00263A9E">
      <w:pPr>
        <w:pStyle w:val="PL"/>
        <w:keepNext/>
        <w:keepLines/>
        <w:rPr>
          <w:lang w:val="en-US"/>
        </w:rPr>
      </w:pPr>
      <w:r w:rsidRPr="008053EF">
        <w:rPr>
          <w:lang w:val="en-US"/>
        </w:rPr>
        <w:t xml:space="preserve">        eventTriggered                              EventTriggerConfig,</w:t>
      </w:r>
    </w:p>
    <w:p w14:paraId="1B0A5E56" w14:textId="77777777" w:rsidR="00061065" w:rsidRPr="008053EF" w:rsidRDefault="00061065" w:rsidP="00263A9E">
      <w:pPr>
        <w:pStyle w:val="PL"/>
        <w:keepNext/>
        <w:keepLines/>
        <w:rPr>
          <w:lang w:val="en-US"/>
        </w:rPr>
      </w:pPr>
      <w:r w:rsidRPr="008053EF">
        <w:rPr>
          <w:lang w:val="en-US"/>
        </w:rPr>
        <w:t xml:space="preserve">        ...,</w:t>
      </w:r>
    </w:p>
    <w:p w14:paraId="77D1BB84" w14:textId="77777777" w:rsidR="00061065" w:rsidRPr="008053EF" w:rsidRDefault="00061065" w:rsidP="00263A9E">
      <w:pPr>
        <w:pStyle w:val="PL"/>
        <w:keepNext/>
        <w:keepLines/>
        <w:rPr>
          <w:lang w:val="en-US"/>
        </w:rPr>
      </w:pPr>
      <w:r w:rsidRPr="008053EF">
        <w:rPr>
          <w:lang w:val="en-US"/>
        </w:rPr>
        <w:t xml:space="preserve">        reportCGI                                   ReportCGI</w:t>
      </w:r>
    </w:p>
    <w:p w14:paraId="4413B296" w14:textId="77777777" w:rsidR="00061065" w:rsidRPr="008053EF" w:rsidRDefault="00061065" w:rsidP="00263A9E">
      <w:pPr>
        <w:pStyle w:val="PL"/>
        <w:keepNext/>
        <w:keepLines/>
        <w:rPr>
          <w:lang w:val="en-US"/>
        </w:rPr>
      </w:pPr>
      <w:r w:rsidRPr="008053EF">
        <w:rPr>
          <w:lang w:val="en-US"/>
        </w:rPr>
        <w:t xml:space="preserve">    }</w:t>
      </w:r>
    </w:p>
    <w:p w14:paraId="42B6F33E" w14:textId="77777777" w:rsidR="00061065" w:rsidRPr="008053EF" w:rsidRDefault="00061065" w:rsidP="00263A9E">
      <w:pPr>
        <w:pStyle w:val="PL"/>
        <w:keepNext/>
        <w:keepLines/>
        <w:rPr>
          <w:lang w:val="en-US"/>
        </w:rPr>
      </w:pPr>
      <w:r w:rsidRPr="008053EF">
        <w:rPr>
          <w:lang w:val="en-US"/>
        </w:rPr>
        <w:t>}</w:t>
      </w:r>
    </w:p>
    <w:p w14:paraId="7F9E67B0" w14:textId="77777777" w:rsidR="00061065" w:rsidRPr="008053EF" w:rsidRDefault="00061065" w:rsidP="00263A9E">
      <w:pPr>
        <w:pStyle w:val="PL"/>
        <w:keepNext/>
        <w:keepLines/>
        <w:rPr>
          <w:lang w:val="en-US"/>
        </w:rPr>
      </w:pPr>
    </w:p>
    <w:p w14:paraId="7AFCC6CA" w14:textId="77777777" w:rsidR="00061065" w:rsidRPr="008053EF" w:rsidRDefault="00061065" w:rsidP="00263A9E">
      <w:pPr>
        <w:pStyle w:val="PL"/>
        <w:keepNext/>
        <w:keepLines/>
        <w:rPr>
          <w:lang w:val="en-US"/>
        </w:rPr>
      </w:pPr>
      <w:r w:rsidRPr="008053EF">
        <w:rPr>
          <w:lang w:val="en-US"/>
        </w:rPr>
        <w:t xml:space="preserve">ReportCGI ::=                     </w:t>
      </w:r>
      <w:r w:rsidRPr="008053EF">
        <w:rPr>
          <w:color w:val="993366"/>
          <w:lang w:val="en-US"/>
        </w:rPr>
        <w:t>SEQUENCE</w:t>
      </w:r>
      <w:r w:rsidRPr="008053EF">
        <w:rPr>
          <w:lang w:val="en-US"/>
        </w:rPr>
        <w:t xml:space="preserve"> {</w:t>
      </w:r>
    </w:p>
    <w:p w14:paraId="4E633D53" w14:textId="77777777" w:rsidR="00061065" w:rsidRPr="008053EF" w:rsidRDefault="00061065" w:rsidP="00263A9E">
      <w:pPr>
        <w:pStyle w:val="PL"/>
        <w:keepNext/>
        <w:keepLines/>
        <w:rPr>
          <w:lang w:val="en-US"/>
        </w:rPr>
      </w:pPr>
      <w:r w:rsidRPr="008053EF">
        <w:rPr>
          <w:lang w:val="en-US"/>
        </w:rPr>
        <w:t xml:space="preserve">    cellForWhichToReportCGI          PhysCellId,</w:t>
      </w:r>
    </w:p>
    <w:p w14:paraId="5034826D" w14:textId="77777777" w:rsidR="00061065" w:rsidRPr="008053EF" w:rsidRDefault="00061065" w:rsidP="00263A9E">
      <w:pPr>
        <w:pStyle w:val="PL"/>
        <w:keepNext/>
        <w:keepLines/>
        <w:rPr>
          <w:lang w:val="en-US"/>
        </w:rPr>
      </w:pPr>
      <w:r w:rsidRPr="008053EF">
        <w:rPr>
          <w:lang w:val="en-US"/>
        </w:rPr>
        <w:t xml:space="preserve">        ...</w:t>
      </w:r>
    </w:p>
    <w:p w14:paraId="097C714F" w14:textId="77777777" w:rsidR="00061065" w:rsidRPr="008053EF" w:rsidRDefault="00061065" w:rsidP="00263A9E">
      <w:pPr>
        <w:pStyle w:val="PL"/>
        <w:keepNext/>
        <w:keepLines/>
        <w:rPr>
          <w:lang w:val="en-US"/>
        </w:rPr>
      </w:pPr>
      <w:r w:rsidRPr="008053EF">
        <w:rPr>
          <w:lang w:val="en-US"/>
        </w:rPr>
        <w:t>}</w:t>
      </w:r>
    </w:p>
    <w:p w14:paraId="061391C9" w14:textId="6C50C60B" w:rsidR="00061065" w:rsidRPr="008053EF" w:rsidRDefault="00061065" w:rsidP="00061065">
      <w:pPr>
        <w:pStyle w:val="Caption"/>
        <w:rPr>
          <w:lang w:val="en-US"/>
        </w:rPr>
      </w:pPr>
      <w:r w:rsidRPr="008053EF">
        <w:rPr>
          <w:lang w:val="en-US"/>
        </w:rPr>
        <w:t xml:space="preserve">Figure </w:t>
      </w:r>
      <w:r w:rsidRPr="008053EF">
        <w:rPr>
          <w:lang w:val="en-US"/>
        </w:rPr>
        <w:fldChar w:fldCharType="begin"/>
      </w:r>
      <w:r w:rsidRPr="008053EF">
        <w:rPr>
          <w:lang w:val="en-US"/>
        </w:rPr>
        <w:instrText xml:space="preserve"> SEQ Figure \* ARABIC </w:instrText>
      </w:r>
      <w:r w:rsidRPr="008053EF">
        <w:rPr>
          <w:lang w:val="en-US"/>
        </w:rPr>
        <w:fldChar w:fldCharType="separate"/>
      </w:r>
      <w:r w:rsidRPr="008053EF">
        <w:rPr>
          <w:noProof/>
          <w:lang w:val="en-US"/>
        </w:rPr>
        <w:t>1</w:t>
      </w:r>
      <w:r w:rsidRPr="008053EF">
        <w:rPr>
          <w:lang w:val="en-US"/>
        </w:rPr>
        <w:fldChar w:fldCharType="end"/>
      </w:r>
      <w:r w:rsidRPr="008053EF">
        <w:rPr>
          <w:lang w:val="en-US"/>
        </w:rPr>
        <w:t xml:space="preserve">: Configuring the UE to report CGI using the Rel-15 IE </w:t>
      </w:r>
      <w:proofErr w:type="spellStart"/>
      <w:r w:rsidRPr="008053EF">
        <w:rPr>
          <w:i/>
          <w:lang w:val="en-US"/>
        </w:rPr>
        <w:t>ReportConfigNR</w:t>
      </w:r>
      <w:proofErr w:type="spellEnd"/>
    </w:p>
    <w:p w14:paraId="38081E94" w14:textId="77777777" w:rsidR="00061065" w:rsidRPr="008053EF" w:rsidRDefault="00061065" w:rsidP="00061065">
      <w:pPr>
        <w:rPr>
          <w:rStyle w:val="BodyTextChar"/>
          <w:spacing w:val="2"/>
          <w:lang w:val="en-US" w:eastAsia="en-US"/>
        </w:rPr>
      </w:pPr>
    </w:p>
    <w:p w14:paraId="10CF0E60" w14:textId="000FF28E" w:rsidR="0046593C" w:rsidRDefault="008053EF" w:rsidP="00BD24D9">
      <w:pPr>
        <w:pStyle w:val="Observation"/>
        <w:rPr>
          <w:rStyle w:val="BodyTextChar"/>
        </w:rPr>
      </w:pPr>
      <w:bookmarkStart w:id="4" w:name="_Toc16593800"/>
      <w:r>
        <w:rPr>
          <w:rStyle w:val="BodyTextChar"/>
        </w:rPr>
        <w:t xml:space="preserve">The gNB can </w:t>
      </w:r>
      <w:r w:rsidR="00992BAD">
        <w:rPr>
          <w:rStyle w:val="BodyTextChar"/>
        </w:rPr>
        <w:t>configure CGI reporting to detect PCI collisions using legacy NR Rel</w:t>
      </w:r>
      <w:r w:rsidR="00992BAD">
        <w:rPr>
          <w:rStyle w:val="BodyTextChar"/>
        </w:rPr>
        <w:noBreakHyphen/>
        <w:t>15 mechanism.</w:t>
      </w:r>
      <w:bookmarkEnd w:id="4"/>
    </w:p>
    <w:p w14:paraId="633F285B" w14:textId="598BCD39" w:rsidR="008053EF" w:rsidRDefault="00992BAD" w:rsidP="00992BAD">
      <w:pPr>
        <w:rPr>
          <w:rStyle w:val="BodyTextChar"/>
        </w:rPr>
      </w:pPr>
      <w:r>
        <w:rPr>
          <w:rStyle w:val="BodyTextChar"/>
        </w:rPr>
        <w:t xml:space="preserve">When the gNB detects a PCI conflict via CGI reporting, it can </w:t>
      </w:r>
      <w:r w:rsidR="001A46D7">
        <w:rPr>
          <w:rStyle w:val="BodyTextChar"/>
        </w:rPr>
        <w:t>avoid handovers</w:t>
      </w:r>
      <w:r w:rsidR="00D0497D">
        <w:rPr>
          <w:rStyle w:val="BodyTextChar"/>
        </w:rPr>
        <w:t xml:space="preserve"> of UEs</w:t>
      </w:r>
      <w:r w:rsidR="001A46D7">
        <w:rPr>
          <w:rStyle w:val="BodyTextChar"/>
        </w:rPr>
        <w:t xml:space="preserve"> to </w:t>
      </w:r>
      <w:r w:rsidR="00D0497D">
        <w:rPr>
          <w:rStyle w:val="BodyTextChar"/>
        </w:rPr>
        <w:t xml:space="preserve">“forbidden” PLMNs and </w:t>
      </w:r>
      <w:r>
        <w:rPr>
          <w:rStyle w:val="BodyTextChar"/>
        </w:rPr>
        <w:t xml:space="preserve">reconfigure the conflicting cell with another PCI. This may result in a short disruption but given that PCI conflicts can be considered to happen rarely during the initial deployment, further enhancements to avoid PCI conflicts </w:t>
      </w:r>
      <w:r w:rsidR="00942388">
        <w:rPr>
          <w:rStyle w:val="BodyTextChar"/>
        </w:rPr>
        <w:t xml:space="preserve">are not needed for Rel-16 and </w:t>
      </w:r>
      <w:r>
        <w:rPr>
          <w:rStyle w:val="BodyTextChar"/>
        </w:rPr>
        <w:t>can be postponed to Rel-17.</w:t>
      </w:r>
    </w:p>
    <w:p w14:paraId="3F8A12C3" w14:textId="2024A7FC" w:rsidR="008053EF" w:rsidRDefault="00992BAD" w:rsidP="00BD24D9">
      <w:pPr>
        <w:pStyle w:val="Observation"/>
        <w:rPr>
          <w:rStyle w:val="BodyTextChar"/>
        </w:rPr>
      </w:pPr>
      <w:bookmarkStart w:id="5" w:name="_Toc16593801"/>
      <w:r>
        <w:rPr>
          <w:rStyle w:val="BodyTextChar"/>
        </w:rPr>
        <w:t>When detecting PCI conflicts, the gNB can reconfigure the conflicting cell with another PCI.</w:t>
      </w:r>
      <w:bookmarkEnd w:id="5"/>
    </w:p>
    <w:p w14:paraId="3B7F2181" w14:textId="77777777" w:rsidR="00B83DF8" w:rsidRDefault="00B83DF8" w:rsidP="00B83DF8">
      <w:pPr>
        <w:pStyle w:val="Observation"/>
        <w:numPr>
          <w:ilvl w:val="0"/>
          <w:numId w:val="0"/>
        </w:numPr>
        <w:rPr>
          <w:rStyle w:val="BodyTextChar"/>
          <w:b w:val="0"/>
        </w:rPr>
      </w:pPr>
    </w:p>
    <w:p w14:paraId="394D405F" w14:textId="3A41C456" w:rsidR="00326096" w:rsidRPr="00B228A4" w:rsidRDefault="00326096" w:rsidP="00B83DF8">
      <w:pPr>
        <w:rPr>
          <w:rStyle w:val="BodyTextChar"/>
        </w:rPr>
      </w:pPr>
      <w:r w:rsidRPr="00B228A4">
        <w:rPr>
          <w:rStyle w:val="BodyTextChar"/>
        </w:rPr>
        <w:t xml:space="preserve">Based on the above observations, we think </w:t>
      </w:r>
      <w:r w:rsidR="00942388" w:rsidRPr="00B228A4">
        <w:rPr>
          <w:rStyle w:val="BodyTextChar"/>
        </w:rPr>
        <w:t>that no enhancement</w:t>
      </w:r>
      <w:r w:rsidR="00DB303D" w:rsidRPr="00B228A4">
        <w:rPr>
          <w:rStyle w:val="BodyTextChar"/>
        </w:rPr>
        <w:t>s</w:t>
      </w:r>
      <w:r w:rsidR="00043990" w:rsidRPr="00B228A4">
        <w:rPr>
          <w:rStyle w:val="BodyTextChar"/>
        </w:rPr>
        <w:t xml:space="preserve"> are needed for Rel-16.</w:t>
      </w:r>
    </w:p>
    <w:p w14:paraId="25C7679E" w14:textId="620857B7" w:rsidR="00A44529" w:rsidRPr="00DB303D" w:rsidRDefault="00B228A4" w:rsidP="00B228A4">
      <w:pPr>
        <w:pStyle w:val="Proposal"/>
        <w:numPr>
          <w:ilvl w:val="0"/>
          <w:numId w:val="0"/>
        </w:numPr>
        <w:rPr>
          <w:rStyle w:val="BodyTextChar"/>
        </w:rPr>
      </w:pPr>
      <w:bookmarkStart w:id="6" w:name="_Toc16793469"/>
      <w:r>
        <w:rPr>
          <w:rStyle w:val="BodyTextChar"/>
        </w:rPr>
        <w:t>Proposal 1</w:t>
      </w:r>
      <w:r>
        <w:rPr>
          <w:rStyle w:val="BodyTextChar"/>
        </w:rPr>
        <w:tab/>
      </w:r>
      <w:r w:rsidR="00A44529" w:rsidRPr="00A44529">
        <w:rPr>
          <w:rStyle w:val="BodyTextChar"/>
        </w:rPr>
        <w:t>No additional mechanisms are introduced to address PCI collisions in Rel-16.</w:t>
      </w:r>
      <w:bookmarkEnd w:id="6"/>
    </w:p>
    <w:bookmarkEnd w:id="3"/>
    <w:p w14:paraId="10C8EFBD" w14:textId="140C4453" w:rsidR="00C01F33" w:rsidRPr="008053EF" w:rsidRDefault="002F09C5" w:rsidP="00CE0424">
      <w:pPr>
        <w:pStyle w:val="Heading1"/>
        <w:rPr>
          <w:lang w:val="en-US"/>
        </w:rPr>
      </w:pPr>
      <w:r w:rsidRPr="008053EF">
        <w:rPr>
          <w:lang w:val="en-US"/>
        </w:rPr>
        <w:t>3</w:t>
      </w:r>
      <w:r w:rsidR="00F12B1D" w:rsidRPr="008053EF">
        <w:rPr>
          <w:lang w:val="en-US"/>
        </w:rPr>
        <w:tab/>
      </w:r>
      <w:r w:rsidR="00C01F33" w:rsidRPr="008053EF">
        <w:rPr>
          <w:lang w:val="en-US"/>
        </w:rPr>
        <w:t>Conclusion</w:t>
      </w:r>
    </w:p>
    <w:p w14:paraId="07A1D8B1" w14:textId="79FC2C02" w:rsidR="008E065E" w:rsidRPr="008053EF" w:rsidRDefault="008E065E" w:rsidP="008E065E">
      <w:pPr>
        <w:pStyle w:val="BodyText"/>
        <w:rPr>
          <w:b/>
          <w:bCs/>
          <w:lang w:val="en-US"/>
        </w:rPr>
      </w:pPr>
      <w:r w:rsidRPr="008053EF">
        <w:rPr>
          <w:lang w:val="en-US"/>
        </w:rPr>
        <w:t xml:space="preserve">In </w:t>
      </w:r>
      <w:r w:rsidR="007729A2" w:rsidRPr="008053EF">
        <w:rPr>
          <w:lang w:val="en-US"/>
        </w:rPr>
        <w:t xml:space="preserve">the previous </w:t>
      </w:r>
      <w:r w:rsidRPr="008053EF">
        <w:rPr>
          <w:lang w:val="en-US"/>
        </w:rPr>
        <w:t>section</w:t>
      </w:r>
      <w:r w:rsidR="007729A2" w:rsidRPr="008053EF">
        <w:rPr>
          <w:lang w:val="en-US"/>
        </w:rPr>
        <w:t>s</w:t>
      </w:r>
      <w:r w:rsidRPr="008053EF">
        <w:rPr>
          <w:lang w:val="en-US"/>
        </w:rPr>
        <w:t xml:space="preserve"> we made the following observations:</w:t>
      </w:r>
      <w:r w:rsidR="00C93814" w:rsidRPr="008053EF">
        <w:rPr>
          <w:b/>
          <w:bCs/>
          <w:lang w:val="en-US"/>
        </w:rPr>
        <w:t xml:space="preserve"> </w:t>
      </w:r>
    </w:p>
    <w:p w14:paraId="1CA7ABB1" w14:textId="77777777" w:rsidR="00B83DF8" w:rsidRDefault="006F6582">
      <w:pPr>
        <w:pStyle w:val="TableofFigures"/>
        <w:tabs>
          <w:tab w:val="right" w:leader="dot" w:pos="9629"/>
        </w:tabs>
        <w:rPr>
          <w:rFonts w:asciiTheme="minorHAnsi" w:eastAsiaTheme="minorEastAsia" w:hAnsiTheme="minorHAnsi" w:cstheme="minorBidi"/>
          <w:b w:val="0"/>
          <w:noProof/>
          <w:sz w:val="22"/>
          <w:szCs w:val="22"/>
        </w:rPr>
      </w:pPr>
      <w:r w:rsidRPr="008053EF">
        <w:rPr>
          <w:b w:val="0"/>
          <w:bCs/>
          <w:lang w:val="en-US"/>
        </w:rPr>
        <w:fldChar w:fldCharType="begin"/>
      </w:r>
      <w:r w:rsidRPr="008053EF">
        <w:rPr>
          <w:b w:val="0"/>
          <w:bCs/>
          <w:lang w:val="en-US"/>
        </w:rPr>
        <w:instrText xml:space="preserve"> TOC \f O \n \h \z \t "Observation" \c </w:instrText>
      </w:r>
      <w:r w:rsidRPr="008053EF">
        <w:rPr>
          <w:b w:val="0"/>
          <w:bCs/>
          <w:lang w:val="en-US"/>
        </w:rPr>
        <w:fldChar w:fldCharType="separate"/>
      </w:r>
      <w:hyperlink w:anchor="_Toc16593799" w:history="1">
        <w:r w:rsidR="00B83DF8" w:rsidRPr="00553557">
          <w:rPr>
            <w:rStyle w:val="Hyperlink"/>
            <w:noProof/>
            <w:lang w:val="en-US"/>
          </w:rPr>
          <w:t>Observation 1</w:t>
        </w:r>
        <w:r w:rsidR="00B83DF8">
          <w:rPr>
            <w:rFonts w:asciiTheme="minorHAnsi" w:eastAsiaTheme="minorEastAsia" w:hAnsiTheme="minorHAnsi" w:cstheme="minorBidi"/>
            <w:b w:val="0"/>
            <w:noProof/>
            <w:sz w:val="22"/>
            <w:szCs w:val="22"/>
          </w:rPr>
          <w:tab/>
        </w:r>
        <w:r w:rsidR="00B83DF8" w:rsidRPr="00553557">
          <w:rPr>
            <w:rStyle w:val="Hyperlink"/>
            <w:noProof/>
            <w:lang w:val="en-US"/>
          </w:rPr>
          <w:t>gNBs scanning for PCIs of neighboring cells can be used to avoid PCI conflicts.</w:t>
        </w:r>
      </w:hyperlink>
    </w:p>
    <w:p w14:paraId="67726AE8" w14:textId="77777777" w:rsidR="00B83DF8" w:rsidRDefault="00D92727">
      <w:pPr>
        <w:pStyle w:val="TableofFigures"/>
        <w:tabs>
          <w:tab w:val="right" w:leader="dot" w:pos="9629"/>
        </w:tabs>
        <w:rPr>
          <w:rFonts w:asciiTheme="minorHAnsi" w:eastAsiaTheme="minorEastAsia" w:hAnsiTheme="minorHAnsi" w:cstheme="minorBidi"/>
          <w:b w:val="0"/>
          <w:noProof/>
          <w:sz w:val="22"/>
          <w:szCs w:val="22"/>
        </w:rPr>
      </w:pPr>
      <w:hyperlink w:anchor="_Toc16593800" w:history="1">
        <w:r w:rsidR="00B83DF8" w:rsidRPr="00553557">
          <w:rPr>
            <w:rStyle w:val="Hyperlink"/>
            <w:noProof/>
          </w:rPr>
          <w:t>Observation 2</w:t>
        </w:r>
        <w:r w:rsidR="00B83DF8">
          <w:rPr>
            <w:rFonts w:asciiTheme="minorHAnsi" w:eastAsiaTheme="minorEastAsia" w:hAnsiTheme="minorHAnsi" w:cstheme="minorBidi"/>
            <w:b w:val="0"/>
            <w:noProof/>
            <w:sz w:val="22"/>
            <w:szCs w:val="22"/>
          </w:rPr>
          <w:tab/>
        </w:r>
        <w:r w:rsidR="00B83DF8" w:rsidRPr="00553557">
          <w:rPr>
            <w:rStyle w:val="Hyperlink"/>
            <w:noProof/>
          </w:rPr>
          <w:t>The gNB can configure CGI reporting to detect PCI collisions using legacy NR Rel</w:t>
        </w:r>
        <w:r w:rsidR="00B83DF8" w:rsidRPr="00553557">
          <w:rPr>
            <w:rStyle w:val="Hyperlink"/>
            <w:noProof/>
          </w:rPr>
          <w:noBreakHyphen/>
          <w:t>15 mechanism.</w:t>
        </w:r>
      </w:hyperlink>
    </w:p>
    <w:p w14:paraId="2B7C3CAB" w14:textId="77777777" w:rsidR="00B83DF8" w:rsidRDefault="00D92727">
      <w:pPr>
        <w:pStyle w:val="TableofFigures"/>
        <w:tabs>
          <w:tab w:val="right" w:leader="dot" w:pos="9629"/>
        </w:tabs>
        <w:rPr>
          <w:rFonts w:asciiTheme="minorHAnsi" w:eastAsiaTheme="minorEastAsia" w:hAnsiTheme="minorHAnsi" w:cstheme="minorBidi"/>
          <w:b w:val="0"/>
          <w:noProof/>
          <w:sz w:val="22"/>
          <w:szCs w:val="22"/>
        </w:rPr>
      </w:pPr>
      <w:hyperlink w:anchor="_Toc16593801" w:history="1">
        <w:r w:rsidR="00B83DF8" w:rsidRPr="00553557">
          <w:rPr>
            <w:rStyle w:val="Hyperlink"/>
            <w:noProof/>
          </w:rPr>
          <w:t>Observation 3</w:t>
        </w:r>
        <w:r w:rsidR="00B83DF8">
          <w:rPr>
            <w:rFonts w:asciiTheme="minorHAnsi" w:eastAsiaTheme="minorEastAsia" w:hAnsiTheme="minorHAnsi" w:cstheme="minorBidi"/>
            <w:b w:val="0"/>
            <w:noProof/>
            <w:sz w:val="22"/>
            <w:szCs w:val="22"/>
          </w:rPr>
          <w:tab/>
        </w:r>
        <w:r w:rsidR="00B83DF8" w:rsidRPr="00553557">
          <w:rPr>
            <w:rStyle w:val="Hyperlink"/>
            <w:noProof/>
          </w:rPr>
          <w:t>When detecting PCI conflicts, the gNB can reconfigure the conflicting cell with another PCI.</w:t>
        </w:r>
      </w:hyperlink>
    </w:p>
    <w:p w14:paraId="4FEE9D35" w14:textId="7BE4F418" w:rsidR="006E1C82" w:rsidRPr="008053EF" w:rsidRDefault="006F6582" w:rsidP="006E1C82">
      <w:pPr>
        <w:pStyle w:val="BodyText"/>
        <w:rPr>
          <w:lang w:val="en-US"/>
        </w:rPr>
      </w:pPr>
      <w:r w:rsidRPr="008053EF">
        <w:rPr>
          <w:b/>
          <w:bCs/>
          <w:lang w:val="en-US"/>
        </w:rPr>
        <w:fldChar w:fldCharType="end"/>
      </w:r>
      <w:r w:rsidR="008E065E" w:rsidRPr="008053EF">
        <w:rPr>
          <w:lang w:val="en-US"/>
        </w:rPr>
        <w:t>Based on the</w:t>
      </w:r>
      <w:r w:rsidR="00027CA3" w:rsidRPr="008053EF">
        <w:rPr>
          <w:lang w:val="en-US"/>
        </w:rPr>
        <w:t xml:space="preserve"> above observations and the</w:t>
      </w:r>
      <w:r w:rsidR="008E065E" w:rsidRPr="008053EF">
        <w:rPr>
          <w:lang w:val="en-US"/>
        </w:rPr>
        <w:t xml:space="preserve"> discussion in </w:t>
      </w:r>
      <w:r w:rsidR="007729A2" w:rsidRPr="008053EF">
        <w:rPr>
          <w:lang w:val="en-US"/>
        </w:rPr>
        <w:t xml:space="preserve">the previous </w:t>
      </w:r>
      <w:r w:rsidR="008E065E" w:rsidRPr="008053EF">
        <w:rPr>
          <w:lang w:val="en-US"/>
        </w:rPr>
        <w:t>section</w:t>
      </w:r>
      <w:r w:rsidR="007729A2" w:rsidRPr="008053EF">
        <w:rPr>
          <w:lang w:val="en-US"/>
        </w:rPr>
        <w:t>s</w:t>
      </w:r>
      <w:r w:rsidR="008E065E" w:rsidRPr="008053EF">
        <w:rPr>
          <w:lang w:val="en-US"/>
        </w:rPr>
        <w:t xml:space="preserve"> we propose the following:</w:t>
      </w:r>
    </w:p>
    <w:p w14:paraId="6C64F156" w14:textId="77777777" w:rsidR="006E0F20" w:rsidRDefault="006E1C82">
      <w:pPr>
        <w:pStyle w:val="TableofFigures"/>
        <w:tabs>
          <w:tab w:val="right" w:leader="dot" w:pos="9629"/>
        </w:tabs>
        <w:rPr>
          <w:rFonts w:asciiTheme="minorHAnsi" w:eastAsiaTheme="minorEastAsia" w:hAnsiTheme="minorHAnsi" w:cstheme="minorBidi"/>
          <w:b w:val="0"/>
          <w:noProof/>
          <w:sz w:val="22"/>
          <w:szCs w:val="22"/>
        </w:rPr>
      </w:pPr>
      <w:r w:rsidRPr="008053EF">
        <w:rPr>
          <w:b w:val="0"/>
          <w:bCs/>
          <w:lang w:val="en-US"/>
        </w:rPr>
        <w:fldChar w:fldCharType="begin"/>
      </w:r>
      <w:r w:rsidRPr="008053EF">
        <w:rPr>
          <w:b w:val="0"/>
          <w:bCs/>
          <w:lang w:val="en-US"/>
        </w:rPr>
        <w:instrText xml:space="preserve"> TOC \n \h \z \t "Proposal" \c </w:instrText>
      </w:r>
      <w:r w:rsidRPr="008053EF">
        <w:rPr>
          <w:b w:val="0"/>
          <w:bCs/>
          <w:lang w:val="en-US"/>
        </w:rPr>
        <w:fldChar w:fldCharType="separate"/>
      </w:r>
      <w:hyperlink w:anchor="_Toc16793469" w:history="1">
        <w:r w:rsidR="006E0F20" w:rsidRPr="009D26BE">
          <w:rPr>
            <w:rStyle w:val="Hyperlink"/>
            <w:noProof/>
          </w:rPr>
          <w:t>Proposal 1</w:t>
        </w:r>
        <w:r w:rsidR="006E0F20">
          <w:rPr>
            <w:rFonts w:asciiTheme="minorHAnsi" w:eastAsiaTheme="minorEastAsia" w:hAnsiTheme="minorHAnsi" w:cstheme="minorBidi"/>
            <w:b w:val="0"/>
            <w:noProof/>
            <w:sz w:val="22"/>
            <w:szCs w:val="22"/>
          </w:rPr>
          <w:tab/>
        </w:r>
        <w:r w:rsidR="006E0F20" w:rsidRPr="009D26BE">
          <w:rPr>
            <w:rStyle w:val="Hyperlink"/>
            <w:noProof/>
          </w:rPr>
          <w:t>No additional mechanisms are introduced to address PCI collisions in Rel-16.</w:t>
        </w:r>
      </w:hyperlink>
    </w:p>
    <w:p w14:paraId="24AD42DF" w14:textId="539A9578" w:rsidR="008132BA" w:rsidRPr="008053EF" w:rsidRDefault="006E1C82" w:rsidP="008132BA">
      <w:pPr>
        <w:pStyle w:val="Heading1"/>
        <w:rPr>
          <w:lang w:val="en-US"/>
        </w:rPr>
      </w:pPr>
      <w:r w:rsidRPr="008053EF">
        <w:rPr>
          <w:b/>
          <w:bCs/>
          <w:lang w:val="en-US"/>
        </w:rPr>
        <w:fldChar w:fldCharType="end"/>
      </w:r>
      <w:r w:rsidR="008132BA">
        <w:rPr>
          <w:lang w:val="en-US"/>
        </w:rPr>
        <w:t>4</w:t>
      </w:r>
      <w:r w:rsidR="008132BA" w:rsidRPr="008053EF">
        <w:rPr>
          <w:lang w:val="en-US"/>
        </w:rPr>
        <w:tab/>
      </w:r>
      <w:r w:rsidR="008132BA">
        <w:rPr>
          <w:lang w:val="en-US"/>
        </w:rPr>
        <w:t>References</w:t>
      </w:r>
    </w:p>
    <w:p w14:paraId="09AD4568" w14:textId="4F5D24FD" w:rsidR="002B4ECC" w:rsidRPr="00C956CD" w:rsidRDefault="00183DD5" w:rsidP="002B4ECC">
      <w:pPr>
        <w:numPr>
          <w:ilvl w:val="0"/>
          <w:numId w:val="2"/>
        </w:numPr>
        <w:spacing w:after="120"/>
        <w:jc w:val="both"/>
        <w:rPr>
          <w:lang w:eastAsia="zh-CN"/>
        </w:rPr>
      </w:pPr>
      <w:bookmarkStart w:id="7" w:name="_Ref13837162"/>
      <w:bookmarkStart w:id="8" w:name="_Ref174151459"/>
      <w:bookmarkStart w:id="9" w:name="_Ref189809556"/>
      <w:bookmarkStart w:id="10" w:name="_Ref400664"/>
      <w:r w:rsidRPr="00183DD5">
        <w:rPr>
          <w:lang w:eastAsia="zh-CN"/>
        </w:rPr>
        <w:t>R2-1906278</w:t>
      </w:r>
      <w:r w:rsidR="002B4ECC">
        <w:rPr>
          <w:lang w:eastAsia="zh-CN"/>
        </w:rPr>
        <w:t>, “</w:t>
      </w:r>
      <w:r w:rsidR="008F010D" w:rsidRPr="008F010D">
        <w:rPr>
          <w:noProof/>
        </w:rPr>
        <w:t>RRM measurement and reporting in NR unlicensed</w:t>
      </w:r>
      <w:r w:rsidR="002B4ECC">
        <w:rPr>
          <w:noProof/>
        </w:rPr>
        <w:t xml:space="preserve">”, </w:t>
      </w:r>
      <w:r w:rsidR="008F010D">
        <w:rPr>
          <w:noProof/>
        </w:rPr>
        <w:t>Intel Corporation</w:t>
      </w:r>
      <w:r w:rsidR="002B4ECC">
        <w:rPr>
          <w:noProof/>
        </w:rPr>
        <w:t>, RAN2#106</w:t>
      </w:r>
      <w:bookmarkEnd w:id="7"/>
    </w:p>
    <w:bookmarkEnd w:id="8"/>
    <w:bookmarkEnd w:id="9"/>
    <w:bookmarkEnd w:id="10"/>
    <w:p w14:paraId="4FC36782" w14:textId="79934F1F" w:rsidR="00C01F33" w:rsidRPr="002B4ECC" w:rsidRDefault="00C01F33" w:rsidP="00C86EE5">
      <w:pPr>
        <w:pStyle w:val="BodyText"/>
        <w:rPr>
          <w:lang w:val="en-US"/>
        </w:rPr>
      </w:pPr>
    </w:p>
    <w:p w14:paraId="2CACABAD" w14:textId="77777777" w:rsidR="003A7EF3" w:rsidRPr="008053EF" w:rsidRDefault="003A7EF3" w:rsidP="00CE0424">
      <w:pPr>
        <w:pStyle w:val="BodyText"/>
        <w:rPr>
          <w:lang w:val="en-US"/>
        </w:rPr>
      </w:pPr>
      <w:bookmarkStart w:id="11" w:name="_In-sequence_SDU_delivery"/>
      <w:bookmarkEnd w:id="11"/>
    </w:p>
    <w:sectPr w:rsidR="003A7EF3" w:rsidRPr="008053E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223F2" w14:textId="77777777" w:rsidR="008365C0" w:rsidRDefault="008365C0">
      <w:r>
        <w:separator/>
      </w:r>
    </w:p>
  </w:endnote>
  <w:endnote w:type="continuationSeparator" w:id="0">
    <w:p w14:paraId="6FA88924" w14:textId="77777777" w:rsidR="008365C0" w:rsidRDefault="008365C0">
      <w:r>
        <w:continuationSeparator/>
      </w:r>
    </w:p>
  </w:endnote>
  <w:endnote w:type="continuationNotice" w:id="1">
    <w:p w14:paraId="772F2CA9" w14:textId="77777777" w:rsidR="008365C0" w:rsidRDefault="00836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7BC1E" w14:textId="77777777" w:rsidR="008365C0" w:rsidRDefault="008365C0">
      <w:r>
        <w:separator/>
      </w:r>
    </w:p>
  </w:footnote>
  <w:footnote w:type="continuationSeparator" w:id="0">
    <w:p w14:paraId="7BC456E8" w14:textId="77777777" w:rsidR="008365C0" w:rsidRDefault="008365C0">
      <w:r>
        <w:continuationSeparator/>
      </w:r>
    </w:p>
  </w:footnote>
  <w:footnote w:type="continuationNotice" w:id="1">
    <w:p w14:paraId="5C1A8D85" w14:textId="77777777" w:rsidR="008365C0" w:rsidRDefault="00836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D28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1470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91A2E"/>
    <w:multiLevelType w:val="hybridMultilevel"/>
    <w:tmpl w:val="0D548E98"/>
    <w:lvl w:ilvl="0" w:tplc="F4A2A60E">
      <w:start w:val="1"/>
      <w:numFmt w:val="decimal"/>
      <w:pStyle w:val="Proposal"/>
      <w:lvlText w:val="Proposal %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20AA8DEE"/>
    <w:lvl w:ilvl="0" w:tplc="8E4ED8CA">
      <w:start w:val="1"/>
      <w:numFmt w:val="decimal"/>
      <w:lvlText w:val="Proposal %1"/>
      <w:lvlJc w:val="left"/>
      <w:pPr>
        <w:tabs>
          <w:tab w:val="num" w:pos="2155"/>
        </w:tabs>
        <w:ind w:left="2155"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38CEEE6"/>
    <w:lvl w:ilvl="0" w:tplc="79A8B81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6"/>
  </w:num>
  <w:num w:numId="20">
    <w:abstractNumId w:val="26"/>
  </w:num>
  <w:num w:numId="21">
    <w:abstractNumId w:val="13"/>
  </w:num>
  <w:num w:numId="22">
    <w:abstractNumId w:val="24"/>
  </w:num>
  <w:num w:numId="23">
    <w:abstractNumId w:val="9"/>
  </w:num>
  <w:num w:numId="24">
    <w:abstractNumId w:val="21"/>
  </w:num>
  <w:num w:numId="25">
    <w:abstractNumId w:val="5"/>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89C"/>
    <w:rsid w:val="00011B28"/>
    <w:rsid w:val="00013B61"/>
    <w:rsid w:val="00015D15"/>
    <w:rsid w:val="00020C34"/>
    <w:rsid w:val="0002564D"/>
    <w:rsid w:val="00025ECA"/>
    <w:rsid w:val="0002657A"/>
    <w:rsid w:val="00027CA3"/>
    <w:rsid w:val="000322ED"/>
    <w:rsid w:val="000325B8"/>
    <w:rsid w:val="00034C15"/>
    <w:rsid w:val="00036BA1"/>
    <w:rsid w:val="000422E2"/>
    <w:rsid w:val="00042888"/>
    <w:rsid w:val="00042F22"/>
    <w:rsid w:val="00043990"/>
    <w:rsid w:val="000444EF"/>
    <w:rsid w:val="00045FE3"/>
    <w:rsid w:val="00046684"/>
    <w:rsid w:val="00051174"/>
    <w:rsid w:val="00052A07"/>
    <w:rsid w:val="0005314E"/>
    <w:rsid w:val="000534E3"/>
    <w:rsid w:val="0005606A"/>
    <w:rsid w:val="00057117"/>
    <w:rsid w:val="00061065"/>
    <w:rsid w:val="000616E7"/>
    <w:rsid w:val="0006487E"/>
    <w:rsid w:val="00065E1A"/>
    <w:rsid w:val="00072CF0"/>
    <w:rsid w:val="00077E5F"/>
    <w:rsid w:val="0008036A"/>
    <w:rsid w:val="00081AE6"/>
    <w:rsid w:val="0008305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95E"/>
    <w:rsid w:val="000C165A"/>
    <w:rsid w:val="000C2E19"/>
    <w:rsid w:val="000C635E"/>
    <w:rsid w:val="000D0D07"/>
    <w:rsid w:val="000D4797"/>
    <w:rsid w:val="000D5285"/>
    <w:rsid w:val="000E0527"/>
    <w:rsid w:val="000E1E92"/>
    <w:rsid w:val="000F06D6"/>
    <w:rsid w:val="000F0EB1"/>
    <w:rsid w:val="000F1106"/>
    <w:rsid w:val="000F3BE9"/>
    <w:rsid w:val="000F3F6C"/>
    <w:rsid w:val="000F6DF3"/>
    <w:rsid w:val="000F757E"/>
    <w:rsid w:val="001005FF"/>
    <w:rsid w:val="00103ADC"/>
    <w:rsid w:val="001062FB"/>
    <w:rsid w:val="001063E6"/>
    <w:rsid w:val="00106DD7"/>
    <w:rsid w:val="00110870"/>
    <w:rsid w:val="00113CF4"/>
    <w:rsid w:val="001153EA"/>
    <w:rsid w:val="00115643"/>
    <w:rsid w:val="00116765"/>
    <w:rsid w:val="001219F5"/>
    <w:rsid w:val="00121A20"/>
    <w:rsid w:val="0012239C"/>
    <w:rsid w:val="0012377F"/>
    <w:rsid w:val="00123C32"/>
    <w:rsid w:val="00124314"/>
    <w:rsid w:val="00126B4A"/>
    <w:rsid w:val="00132FD0"/>
    <w:rsid w:val="001344C0"/>
    <w:rsid w:val="001346FA"/>
    <w:rsid w:val="00135252"/>
    <w:rsid w:val="00137AB5"/>
    <w:rsid w:val="00137F0B"/>
    <w:rsid w:val="00144B54"/>
    <w:rsid w:val="00151E23"/>
    <w:rsid w:val="001526E0"/>
    <w:rsid w:val="001551B5"/>
    <w:rsid w:val="00161662"/>
    <w:rsid w:val="001659C1"/>
    <w:rsid w:val="00170BEA"/>
    <w:rsid w:val="00173A8E"/>
    <w:rsid w:val="0017502C"/>
    <w:rsid w:val="0018143F"/>
    <w:rsid w:val="00181FF8"/>
    <w:rsid w:val="00183DD5"/>
    <w:rsid w:val="00190AC1"/>
    <w:rsid w:val="0019341A"/>
    <w:rsid w:val="00197DF9"/>
    <w:rsid w:val="001A1987"/>
    <w:rsid w:val="001A2564"/>
    <w:rsid w:val="001A46D7"/>
    <w:rsid w:val="001A6173"/>
    <w:rsid w:val="001A6CBA"/>
    <w:rsid w:val="001B0D97"/>
    <w:rsid w:val="001B5A5D"/>
    <w:rsid w:val="001C1CE5"/>
    <w:rsid w:val="001C3D2A"/>
    <w:rsid w:val="001C772F"/>
    <w:rsid w:val="001D51BA"/>
    <w:rsid w:val="001D53E7"/>
    <w:rsid w:val="001D6342"/>
    <w:rsid w:val="001D6D53"/>
    <w:rsid w:val="001E2DA2"/>
    <w:rsid w:val="001E3D6F"/>
    <w:rsid w:val="001E58E2"/>
    <w:rsid w:val="001E7AED"/>
    <w:rsid w:val="001F1A44"/>
    <w:rsid w:val="001F3916"/>
    <w:rsid w:val="001F4302"/>
    <w:rsid w:val="001F54C5"/>
    <w:rsid w:val="001F5D4F"/>
    <w:rsid w:val="001F662C"/>
    <w:rsid w:val="001F7074"/>
    <w:rsid w:val="00200490"/>
    <w:rsid w:val="00201F3A"/>
    <w:rsid w:val="00203F96"/>
    <w:rsid w:val="0020587C"/>
    <w:rsid w:val="002069B2"/>
    <w:rsid w:val="00207FA3"/>
    <w:rsid w:val="002115F8"/>
    <w:rsid w:val="002147DF"/>
    <w:rsid w:val="00214DA8"/>
    <w:rsid w:val="00214F86"/>
    <w:rsid w:val="00215423"/>
    <w:rsid w:val="002158FA"/>
    <w:rsid w:val="00220600"/>
    <w:rsid w:val="002224DB"/>
    <w:rsid w:val="00222A43"/>
    <w:rsid w:val="00223FCB"/>
    <w:rsid w:val="002250FC"/>
    <w:rsid w:val="0022511D"/>
    <w:rsid w:val="002252C3"/>
    <w:rsid w:val="00225C54"/>
    <w:rsid w:val="00227DDC"/>
    <w:rsid w:val="00230765"/>
    <w:rsid w:val="00230D18"/>
    <w:rsid w:val="002319E4"/>
    <w:rsid w:val="00235632"/>
    <w:rsid w:val="00235872"/>
    <w:rsid w:val="00235D27"/>
    <w:rsid w:val="00241559"/>
    <w:rsid w:val="002435B3"/>
    <w:rsid w:val="002458EB"/>
    <w:rsid w:val="0024658D"/>
    <w:rsid w:val="002500C8"/>
    <w:rsid w:val="002540AB"/>
    <w:rsid w:val="00257543"/>
    <w:rsid w:val="002617E7"/>
    <w:rsid w:val="00263A9E"/>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116"/>
    <w:rsid w:val="002914B2"/>
    <w:rsid w:val="0029188B"/>
    <w:rsid w:val="00292EB7"/>
    <w:rsid w:val="00296227"/>
    <w:rsid w:val="00296F44"/>
    <w:rsid w:val="0029777D"/>
    <w:rsid w:val="002A055E"/>
    <w:rsid w:val="002A1D4E"/>
    <w:rsid w:val="002A2869"/>
    <w:rsid w:val="002B24D6"/>
    <w:rsid w:val="002B4ECC"/>
    <w:rsid w:val="002B68E9"/>
    <w:rsid w:val="002C41E6"/>
    <w:rsid w:val="002D071A"/>
    <w:rsid w:val="002D34B2"/>
    <w:rsid w:val="002D48B0"/>
    <w:rsid w:val="002D4B9F"/>
    <w:rsid w:val="002D5B37"/>
    <w:rsid w:val="002D7637"/>
    <w:rsid w:val="002E17F2"/>
    <w:rsid w:val="002E2BDA"/>
    <w:rsid w:val="002E5CA2"/>
    <w:rsid w:val="002E7CAE"/>
    <w:rsid w:val="002F09C5"/>
    <w:rsid w:val="002F1CA7"/>
    <w:rsid w:val="002F2771"/>
    <w:rsid w:val="002F37A9"/>
    <w:rsid w:val="002F3CAE"/>
    <w:rsid w:val="00301CE6"/>
    <w:rsid w:val="0030256B"/>
    <w:rsid w:val="0030501F"/>
    <w:rsid w:val="00307BA1"/>
    <w:rsid w:val="00311702"/>
    <w:rsid w:val="00311E82"/>
    <w:rsid w:val="00313FD6"/>
    <w:rsid w:val="003143BD"/>
    <w:rsid w:val="00315363"/>
    <w:rsid w:val="003203ED"/>
    <w:rsid w:val="00322C9F"/>
    <w:rsid w:val="00324D23"/>
    <w:rsid w:val="00326096"/>
    <w:rsid w:val="00331321"/>
    <w:rsid w:val="00331751"/>
    <w:rsid w:val="00334579"/>
    <w:rsid w:val="00335858"/>
    <w:rsid w:val="00336BDA"/>
    <w:rsid w:val="00342BD7"/>
    <w:rsid w:val="00346DB5"/>
    <w:rsid w:val="00346F88"/>
    <w:rsid w:val="003477B1"/>
    <w:rsid w:val="00347B04"/>
    <w:rsid w:val="00355150"/>
    <w:rsid w:val="0035697F"/>
    <w:rsid w:val="00357380"/>
    <w:rsid w:val="003602D9"/>
    <w:rsid w:val="003604CE"/>
    <w:rsid w:val="00362056"/>
    <w:rsid w:val="003629E6"/>
    <w:rsid w:val="00365A47"/>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BDF"/>
    <w:rsid w:val="00426226"/>
    <w:rsid w:val="00427248"/>
    <w:rsid w:val="00437447"/>
    <w:rsid w:val="00441A92"/>
    <w:rsid w:val="00441BB0"/>
    <w:rsid w:val="004431DC"/>
    <w:rsid w:val="00444F56"/>
    <w:rsid w:val="0044599E"/>
    <w:rsid w:val="00446488"/>
    <w:rsid w:val="004477F7"/>
    <w:rsid w:val="004517AA"/>
    <w:rsid w:val="00452CAC"/>
    <w:rsid w:val="00455408"/>
    <w:rsid w:val="00457565"/>
    <w:rsid w:val="00457B71"/>
    <w:rsid w:val="0046593C"/>
    <w:rsid w:val="004669E2"/>
    <w:rsid w:val="00470C31"/>
    <w:rsid w:val="00471DE0"/>
    <w:rsid w:val="004734D0"/>
    <w:rsid w:val="0047556B"/>
    <w:rsid w:val="00475E13"/>
    <w:rsid w:val="00477768"/>
    <w:rsid w:val="0048132E"/>
    <w:rsid w:val="00487FB1"/>
    <w:rsid w:val="00490FA0"/>
    <w:rsid w:val="00492BC5"/>
    <w:rsid w:val="004964F1"/>
    <w:rsid w:val="00497999"/>
    <w:rsid w:val="004A16BC"/>
    <w:rsid w:val="004A2B94"/>
    <w:rsid w:val="004B322B"/>
    <w:rsid w:val="004B5636"/>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BA3"/>
    <w:rsid w:val="004F6AC7"/>
    <w:rsid w:val="005059A9"/>
    <w:rsid w:val="00506557"/>
    <w:rsid w:val="0050677A"/>
    <w:rsid w:val="005108D8"/>
    <w:rsid w:val="005116F9"/>
    <w:rsid w:val="005153A7"/>
    <w:rsid w:val="005219CF"/>
    <w:rsid w:val="00534B59"/>
    <w:rsid w:val="00536759"/>
    <w:rsid w:val="00537C62"/>
    <w:rsid w:val="00542E92"/>
    <w:rsid w:val="00546970"/>
    <w:rsid w:val="00552B94"/>
    <w:rsid w:val="00554148"/>
    <w:rsid w:val="00554E19"/>
    <w:rsid w:val="0056121F"/>
    <w:rsid w:val="00562D3C"/>
    <w:rsid w:val="0057051B"/>
    <w:rsid w:val="00572505"/>
    <w:rsid w:val="005766EF"/>
    <w:rsid w:val="00582809"/>
    <w:rsid w:val="0058798C"/>
    <w:rsid w:val="005900FA"/>
    <w:rsid w:val="005935A4"/>
    <w:rsid w:val="005948C2"/>
    <w:rsid w:val="00595DCA"/>
    <w:rsid w:val="0059779B"/>
    <w:rsid w:val="005A209A"/>
    <w:rsid w:val="005A662D"/>
    <w:rsid w:val="005B1409"/>
    <w:rsid w:val="005B186D"/>
    <w:rsid w:val="005B35D7"/>
    <w:rsid w:val="005B392A"/>
    <w:rsid w:val="005B3AA3"/>
    <w:rsid w:val="005B6F83"/>
    <w:rsid w:val="005C00AB"/>
    <w:rsid w:val="005C485A"/>
    <w:rsid w:val="005C74FB"/>
    <w:rsid w:val="005D1602"/>
    <w:rsid w:val="005E385F"/>
    <w:rsid w:val="005E5B81"/>
    <w:rsid w:val="005F2CB1"/>
    <w:rsid w:val="005F3025"/>
    <w:rsid w:val="005F6096"/>
    <w:rsid w:val="005F618C"/>
    <w:rsid w:val="005F70BD"/>
    <w:rsid w:val="0060283C"/>
    <w:rsid w:val="00604F14"/>
    <w:rsid w:val="00605698"/>
    <w:rsid w:val="00611B83"/>
    <w:rsid w:val="00613257"/>
    <w:rsid w:val="00620A71"/>
    <w:rsid w:val="00620D80"/>
    <w:rsid w:val="006234A6"/>
    <w:rsid w:val="006255E7"/>
    <w:rsid w:val="00630001"/>
    <w:rsid w:val="006311B3"/>
    <w:rsid w:val="00631B1F"/>
    <w:rsid w:val="0063284C"/>
    <w:rsid w:val="00636398"/>
    <w:rsid w:val="006368D3"/>
    <w:rsid w:val="006377EC"/>
    <w:rsid w:val="0064151F"/>
    <w:rsid w:val="00641533"/>
    <w:rsid w:val="0064208D"/>
    <w:rsid w:val="00643475"/>
    <w:rsid w:val="0064396A"/>
    <w:rsid w:val="0064624E"/>
    <w:rsid w:val="0064630D"/>
    <w:rsid w:val="006466F5"/>
    <w:rsid w:val="00650AB9"/>
    <w:rsid w:val="0065106C"/>
    <w:rsid w:val="00655733"/>
    <w:rsid w:val="00655ACD"/>
    <w:rsid w:val="00656A92"/>
    <w:rsid w:val="00656DDE"/>
    <w:rsid w:val="00660024"/>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6031"/>
    <w:rsid w:val="006771F9"/>
    <w:rsid w:val="006776D7"/>
    <w:rsid w:val="00681003"/>
    <w:rsid w:val="006817C9"/>
    <w:rsid w:val="00683ECE"/>
    <w:rsid w:val="00695FC2"/>
    <w:rsid w:val="00696949"/>
    <w:rsid w:val="00697052"/>
    <w:rsid w:val="006A46FB"/>
    <w:rsid w:val="006A55E7"/>
    <w:rsid w:val="006A5E28"/>
    <w:rsid w:val="006A697B"/>
    <w:rsid w:val="006A7AFF"/>
    <w:rsid w:val="006B1024"/>
    <w:rsid w:val="006B1816"/>
    <w:rsid w:val="006B2099"/>
    <w:rsid w:val="006B50CF"/>
    <w:rsid w:val="006C03B8"/>
    <w:rsid w:val="006C2B72"/>
    <w:rsid w:val="006C5EC9"/>
    <w:rsid w:val="006C6059"/>
    <w:rsid w:val="006C7522"/>
    <w:rsid w:val="006D5189"/>
    <w:rsid w:val="006D6F08"/>
    <w:rsid w:val="006D72FA"/>
    <w:rsid w:val="006E062C"/>
    <w:rsid w:val="006E0F20"/>
    <w:rsid w:val="006E1C82"/>
    <w:rsid w:val="006E28B7"/>
    <w:rsid w:val="006E2A9B"/>
    <w:rsid w:val="006E3310"/>
    <w:rsid w:val="006E4E39"/>
    <w:rsid w:val="006E565E"/>
    <w:rsid w:val="006E673D"/>
    <w:rsid w:val="006E7D3B"/>
    <w:rsid w:val="006F1B70"/>
    <w:rsid w:val="006F341D"/>
    <w:rsid w:val="006F39C8"/>
    <w:rsid w:val="006F3CDE"/>
    <w:rsid w:val="006F58D4"/>
    <w:rsid w:val="006F6582"/>
    <w:rsid w:val="00701B44"/>
    <w:rsid w:val="0070346E"/>
    <w:rsid w:val="00704EDB"/>
    <w:rsid w:val="00706101"/>
    <w:rsid w:val="00707072"/>
    <w:rsid w:val="00707D61"/>
    <w:rsid w:val="00712287"/>
    <w:rsid w:val="00712772"/>
    <w:rsid w:val="007148D3"/>
    <w:rsid w:val="00715B9A"/>
    <w:rsid w:val="00715FE0"/>
    <w:rsid w:val="00716568"/>
    <w:rsid w:val="00722D03"/>
    <w:rsid w:val="00723A57"/>
    <w:rsid w:val="00723FF0"/>
    <w:rsid w:val="007257D0"/>
    <w:rsid w:val="00726EA6"/>
    <w:rsid w:val="00727208"/>
    <w:rsid w:val="00727680"/>
    <w:rsid w:val="007323C4"/>
    <w:rsid w:val="007348B1"/>
    <w:rsid w:val="007362A6"/>
    <w:rsid w:val="00736D7D"/>
    <w:rsid w:val="007402EA"/>
    <w:rsid w:val="00740E58"/>
    <w:rsid w:val="0074141A"/>
    <w:rsid w:val="00743EF9"/>
    <w:rsid w:val="007445A0"/>
    <w:rsid w:val="0074524B"/>
    <w:rsid w:val="00747D8B"/>
    <w:rsid w:val="00751228"/>
    <w:rsid w:val="00752DA2"/>
    <w:rsid w:val="007571E1"/>
    <w:rsid w:val="007604B2"/>
    <w:rsid w:val="00765281"/>
    <w:rsid w:val="00765FC3"/>
    <w:rsid w:val="00766BAD"/>
    <w:rsid w:val="007729A2"/>
    <w:rsid w:val="007755F2"/>
    <w:rsid w:val="00776971"/>
    <w:rsid w:val="00780A80"/>
    <w:rsid w:val="0078177E"/>
    <w:rsid w:val="0078304C"/>
    <w:rsid w:val="00783673"/>
    <w:rsid w:val="00784B9F"/>
    <w:rsid w:val="00785490"/>
    <w:rsid w:val="007925EA"/>
    <w:rsid w:val="00793CD8"/>
    <w:rsid w:val="0079586F"/>
    <w:rsid w:val="00795C92"/>
    <w:rsid w:val="00796231"/>
    <w:rsid w:val="007A1CB3"/>
    <w:rsid w:val="007A306F"/>
    <w:rsid w:val="007A43A6"/>
    <w:rsid w:val="007A58A6"/>
    <w:rsid w:val="007B265C"/>
    <w:rsid w:val="007B3D2D"/>
    <w:rsid w:val="007B50AE"/>
    <w:rsid w:val="007B51DF"/>
    <w:rsid w:val="007C05DD"/>
    <w:rsid w:val="007C3D18"/>
    <w:rsid w:val="007C5012"/>
    <w:rsid w:val="007C5507"/>
    <w:rsid w:val="007C60BF"/>
    <w:rsid w:val="007C6A07"/>
    <w:rsid w:val="007C75A1"/>
    <w:rsid w:val="007C77A5"/>
    <w:rsid w:val="007D04E5"/>
    <w:rsid w:val="007D33A0"/>
    <w:rsid w:val="007D5901"/>
    <w:rsid w:val="007D7526"/>
    <w:rsid w:val="007E4610"/>
    <w:rsid w:val="007E4715"/>
    <w:rsid w:val="007E505B"/>
    <w:rsid w:val="007E69EF"/>
    <w:rsid w:val="007E7091"/>
    <w:rsid w:val="00803FAE"/>
    <w:rsid w:val="00804B5A"/>
    <w:rsid w:val="00805284"/>
    <w:rsid w:val="00805356"/>
    <w:rsid w:val="008053EF"/>
    <w:rsid w:val="0080605F"/>
    <w:rsid w:val="008069BE"/>
    <w:rsid w:val="00807786"/>
    <w:rsid w:val="00811FCB"/>
    <w:rsid w:val="008132BA"/>
    <w:rsid w:val="00813C85"/>
    <w:rsid w:val="008158D6"/>
    <w:rsid w:val="00817196"/>
    <w:rsid w:val="008215E7"/>
    <w:rsid w:val="00821C84"/>
    <w:rsid w:val="008235DB"/>
    <w:rsid w:val="008245CE"/>
    <w:rsid w:val="00824AB4"/>
    <w:rsid w:val="00825C42"/>
    <w:rsid w:val="00825D25"/>
    <w:rsid w:val="00827D6F"/>
    <w:rsid w:val="008365C0"/>
    <w:rsid w:val="0083698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6BC"/>
    <w:rsid w:val="00887052"/>
    <w:rsid w:val="0089088B"/>
    <w:rsid w:val="00892CA0"/>
    <w:rsid w:val="008941E3"/>
    <w:rsid w:val="00894A88"/>
    <w:rsid w:val="00895386"/>
    <w:rsid w:val="008A0090"/>
    <w:rsid w:val="008A21FF"/>
    <w:rsid w:val="008A2CE2"/>
    <w:rsid w:val="008A30AC"/>
    <w:rsid w:val="008A32D1"/>
    <w:rsid w:val="008A4049"/>
    <w:rsid w:val="008A44B8"/>
    <w:rsid w:val="008A51A8"/>
    <w:rsid w:val="008A54C7"/>
    <w:rsid w:val="008A77D8"/>
    <w:rsid w:val="008B0483"/>
    <w:rsid w:val="008B120C"/>
    <w:rsid w:val="008B34C0"/>
    <w:rsid w:val="008B51A0"/>
    <w:rsid w:val="008B592A"/>
    <w:rsid w:val="008B73DE"/>
    <w:rsid w:val="008B7B5C"/>
    <w:rsid w:val="008C0C99"/>
    <w:rsid w:val="008C2017"/>
    <w:rsid w:val="008C4958"/>
    <w:rsid w:val="008C4BAA"/>
    <w:rsid w:val="008C4DC9"/>
    <w:rsid w:val="008C6AE8"/>
    <w:rsid w:val="008C7573"/>
    <w:rsid w:val="008D00A5"/>
    <w:rsid w:val="008D34F1"/>
    <w:rsid w:val="008D39D8"/>
    <w:rsid w:val="008D46F9"/>
    <w:rsid w:val="008D6D1A"/>
    <w:rsid w:val="008E065E"/>
    <w:rsid w:val="008E0927"/>
    <w:rsid w:val="008E1909"/>
    <w:rsid w:val="008F010D"/>
    <w:rsid w:val="008F1EAB"/>
    <w:rsid w:val="008F2F4C"/>
    <w:rsid w:val="008F33DC"/>
    <w:rsid w:val="008F477F"/>
    <w:rsid w:val="008F69A1"/>
    <w:rsid w:val="00902350"/>
    <w:rsid w:val="00902BC8"/>
    <w:rsid w:val="0090336B"/>
    <w:rsid w:val="009053AA"/>
    <w:rsid w:val="00906939"/>
    <w:rsid w:val="00907422"/>
    <w:rsid w:val="00910B7D"/>
    <w:rsid w:val="00911DFB"/>
    <w:rsid w:val="009139D9"/>
    <w:rsid w:val="00914AD8"/>
    <w:rsid w:val="00916079"/>
    <w:rsid w:val="00917CE9"/>
    <w:rsid w:val="00920BF2"/>
    <w:rsid w:val="00922010"/>
    <w:rsid w:val="00925643"/>
    <w:rsid w:val="00931BD9"/>
    <w:rsid w:val="009359D4"/>
    <w:rsid w:val="009368F3"/>
    <w:rsid w:val="00941636"/>
    <w:rsid w:val="00942388"/>
    <w:rsid w:val="00943742"/>
    <w:rsid w:val="00945C05"/>
    <w:rsid w:val="00946945"/>
    <w:rsid w:val="00947713"/>
    <w:rsid w:val="00950DE7"/>
    <w:rsid w:val="00953920"/>
    <w:rsid w:val="00953D47"/>
    <w:rsid w:val="00954143"/>
    <w:rsid w:val="00955437"/>
    <w:rsid w:val="0095681E"/>
    <w:rsid w:val="009568BC"/>
    <w:rsid w:val="009572D4"/>
    <w:rsid w:val="00961921"/>
    <w:rsid w:val="0096430A"/>
    <w:rsid w:val="0096554B"/>
    <w:rsid w:val="0096584A"/>
    <w:rsid w:val="00971793"/>
    <w:rsid w:val="00971F08"/>
    <w:rsid w:val="0097410B"/>
    <w:rsid w:val="0097603D"/>
    <w:rsid w:val="009760FC"/>
    <w:rsid w:val="00976949"/>
    <w:rsid w:val="00980477"/>
    <w:rsid w:val="00985253"/>
    <w:rsid w:val="009853B3"/>
    <w:rsid w:val="00990630"/>
    <w:rsid w:val="00991761"/>
    <w:rsid w:val="00992BA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34B"/>
    <w:rsid w:val="009E47A3"/>
    <w:rsid w:val="009F08F3"/>
    <w:rsid w:val="009F344F"/>
    <w:rsid w:val="00A031D8"/>
    <w:rsid w:val="00A048A8"/>
    <w:rsid w:val="00A04F49"/>
    <w:rsid w:val="00A105A6"/>
    <w:rsid w:val="00A1207E"/>
    <w:rsid w:val="00A127CE"/>
    <w:rsid w:val="00A13E54"/>
    <w:rsid w:val="00A17F63"/>
    <w:rsid w:val="00A20FF2"/>
    <w:rsid w:val="00A2193B"/>
    <w:rsid w:val="00A2351A"/>
    <w:rsid w:val="00A2611B"/>
    <w:rsid w:val="00A264A9"/>
    <w:rsid w:val="00A26DCF"/>
    <w:rsid w:val="00A27785"/>
    <w:rsid w:val="00A30187"/>
    <w:rsid w:val="00A3448A"/>
    <w:rsid w:val="00A36297"/>
    <w:rsid w:val="00A41E2B"/>
    <w:rsid w:val="00A44529"/>
    <w:rsid w:val="00A449D1"/>
    <w:rsid w:val="00A45B74"/>
    <w:rsid w:val="00A52E1D"/>
    <w:rsid w:val="00A553DF"/>
    <w:rsid w:val="00A61499"/>
    <w:rsid w:val="00A62A77"/>
    <w:rsid w:val="00A63483"/>
    <w:rsid w:val="00A657D7"/>
    <w:rsid w:val="00A660AC"/>
    <w:rsid w:val="00A67E6C"/>
    <w:rsid w:val="00A71B76"/>
    <w:rsid w:val="00A71B99"/>
    <w:rsid w:val="00A739D0"/>
    <w:rsid w:val="00A761D4"/>
    <w:rsid w:val="00A77EC4"/>
    <w:rsid w:val="00A834D2"/>
    <w:rsid w:val="00A83892"/>
    <w:rsid w:val="00A8736D"/>
    <w:rsid w:val="00A92879"/>
    <w:rsid w:val="00A9442A"/>
    <w:rsid w:val="00AA016F"/>
    <w:rsid w:val="00AA1ED6"/>
    <w:rsid w:val="00AA2368"/>
    <w:rsid w:val="00AA51D6"/>
    <w:rsid w:val="00AB0BC8"/>
    <w:rsid w:val="00AB11CA"/>
    <w:rsid w:val="00AB14D9"/>
    <w:rsid w:val="00AB4AB8"/>
    <w:rsid w:val="00AB655E"/>
    <w:rsid w:val="00AC007F"/>
    <w:rsid w:val="00AC17A1"/>
    <w:rsid w:val="00AC2ECD"/>
    <w:rsid w:val="00AC3119"/>
    <w:rsid w:val="00AC49FB"/>
    <w:rsid w:val="00AC5A10"/>
    <w:rsid w:val="00AD0AA3"/>
    <w:rsid w:val="00AD3F94"/>
    <w:rsid w:val="00AD4A5A"/>
    <w:rsid w:val="00AE27AC"/>
    <w:rsid w:val="00AE40E0"/>
    <w:rsid w:val="00AE4DBA"/>
    <w:rsid w:val="00AE4F07"/>
    <w:rsid w:val="00AE5A43"/>
    <w:rsid w:val="00AF1C5D"/>
    <w:rsid w:val="00AF42D7"/>
    <w:rsid w:val="00AF6FFB"/>
    <w:rsid w:val="00B006FE"/>
    <w:rsid w:val="00B007CB"/>
    <w:rsid w:val="00B0107A"/>
    <w:rsid w:val="00B02AA9"/>
    <w:rsid w:val="00B02FA3"/>
    <w:rsid w:val="00B05084"/>
    <w:rsid w:val="00B05BC7"/>
    <w:rsid w:val="00B157F9"/>
    <w:rsid w:val="00B20256"/>
    <w:rsid w:val="00B20B52"/>
    <w:rsid w:val="00B20D09"/>
    <w:rsid w:val="00B228A4"/>
    <w:rsid w:val="00B2763F"/>
    <w:rsid w:val="00B27AAC"/>
    <w:rsid w:val="00B30929"/>
    <w:rsid w:val="00B34B47"/>
    <w:rsid w:val="00B372AA"/>
    <w:rsid w:val="00B40445"/>
    <w:rsid w:val="00B409E0"/>
    <w:rsid w:val="00B41888"/>
    <w:rsid w:val="00B45A52"/>
    <w:rsid w:val="00B46175"/>
    <w:rsid w:val="00B463F7"/>
    <w:rsid w:val="00B4663E"/>
    <w:rsid w:val="00B548B7"/>
    <w:rsid w:val="00B55B6D"/>
    <w:rsid w:val="00B664C7"/>
    <w:rsid w:val="00B739F6"/>
    <w:rsid w:val="00B7438B"/>
    <w:rsid w:val="00B777A8"/>
    <w:rsid w:val="00B81A6C"/>
    <w:rsid w:val="00B83DF8"/>
    <w:rsid w:val="00B84493"/>
    <w:rsid w:val="00B85DE5"/>
    <w:rsid w:val="00B90F73"/>
    <w:rsid w:val="00B93B59"/>
    <w:rsid w:val="00B9406A"/>
    <w:rsid w:val="00BA0ABE"/>
    <w:rsid w:val="00BA2280"/>
    <w:rsid w:val="00BA2A08"/>
    <w:rsid w:val="00BA56D2"/>
    <w:rsid w:val="00BA76E0"/>
    <w:rsid w:val="00BB1118"/>
    <w:rsid w:val="00BB2A25"/>
    <w:rsid w:val="00BB51E9"/>
    <w:rsid w:val="00BC0FDC"/>
    <w:rsid w:val="00BC3053"/>
    <w:rsid w:val="00BC4D2E"/>
    <w:rsid w:val="00BD0B5A"/>
    <w:rsid w:val="00BD24D9"/>
    <w:rsid w:val="00BD48AC"/>
    <w:rsid w:val="00BD5F1A"/>
    <w:rsid w:val="00BD6016"/>
    <w:rsid w:val="00BE0951"/>
    <w:rsid w:val="00BE1234"/>
    <w:rsid w:val="00BE2FA6"/>
    <w:rsid w:val="00BE3234"/>
    <w:rsid w:val="00BE333F"/>
    <w:rsid w:val="00BE7406"/>
    <w:rsid w:val="00BE7603"/>
    <w:rsid w:val="00BF05C9"/>
    <w:rsid w:val="00BF31F8"/>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2C32"/>
    <w:rsid w:val="00C25269"/>
    <w:rsid w:val="00C279B5"/>
    <w:rsid w:val="00C27C45"/>
    <w:rsid w:val="00C34690"/>
    <w:rsid w:val="00C3719D"/>
    <w:rsid w:val="00C37CB2"/>
    <w:rsid w:val="00C461B2"/>
    <w:rsid w:val="00C46E6D"/>
    <w:rsid w:val="00C473A5"/>
    <w:rsid w:val="00C47DB7"/>
    <w:rsid w:val="00C54995"/>
    <w:rsid w:val="00C54D41"/>
    <w:rsid w:val="00C60783"/>
    <w:rsid w:val="00C63AD4"/>
    <w:rsid w:val="00C64672"/>
    <w:rsid w:val="00C65924"/>
    <w:rsid w:val="00C70697"/>
    <w:rsid w:val="00C72093"/>
    <w:rsid w:val="00C72EF4"/>
    <w:rsid w:val="00C72EFB"/>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576"/>
    <w:rsid w:val="00CC3EA0"/>
    <w:rsid w:val="00CC7B45"/>
    <w:rsid w:val="00CD1188"/>
    <w:rsid w:val="00CD2ED1"/>
    <w:rsid w:val="00CD337B"/>
    <w:rsid w:val="00CD34C6"/>
    <w:rsid w:val="00CE0424"/>
    <w:rsid w:val="00CE11D4"/>
    <w:rsid w:val="00CE7561"/>
    <w:rsid w:val="00CF1354"/>
    <w:rsid w:val="00CF3B1F"/>
    <w:rsid w:val="00CF3BF6"/>
    <w:rsid w:val="00CF625B"/>
    <w:rsid w:val="00CF687E"/>
    <w:rsid w:val="00D0349B"/>
    <w:rsid w:val="00D0497D"/>
    <w:rsid w:val="00D052E9"/>
    <w:rsid w:val="00D10249"/>
    <w:rsid w:val="00D115C3"/>
    <w:rsid w:val="00D11897"/>
    <w:rsid w:val="00D13135"/>
    <w:rsid w:val="00D13E4E"/>
    <w:rsid w:val="00D20F80"/>
    <w:rsid w:val="00D22663"/>
    <w:rsid w:val="00D239A7"/>
    <w:rsid w:val="00D23F47"/>
    <w:rsid w:val="00D2521C"/>
    <w:rsid w:val="00D36E71"/>
    <w:rsid w:val="00D37D87"/>
    <w:rsid w:val="00D40B33"/>
    <w:rsid w:val="00D4318F"/>
    <w:rsid w:val="00D431B8"/>
    <w:rsid w:val="00D438BF"/>
    <w:rsid w:val="00D440F8"/>
    <w:rsid w:val="00D449E8"/>
    <w:rsid w:val="00D46231"/>
    <w:rsid w:val="00D546FF"/>
    <w:rsid w:val="00D55AD5"/>
    <w:rsid w:val="00D576CA"/>
    <w:rsid w:val="00D61AF5"/>
    <w:rsid w:val="00D64856"/>
    <w:rsid w:val="00D652B5"/>
    <w:rsid w:val="00D66155"/>
    <w:rsid w:val="00D708B0"/>
    <w:rsid w:val="00D71C79"/>
    <w:rsid w:val="00D77B1D"/>
    <w:rsid w:val="00D8021F"/>
    <w:rsid w:val="00D80383"/>
    <w:rsid w:val="00D823C6"/>
    <w:rsid w:val="00D82A2C"/>
    <w:rsid w:val="00D8327F"/>
    <w:rsid w:val="00D86CA3"/>
    <w:rsid w:val="00D871CE"/>
    <w:rsid w:val="00D9196D"/>
    <w:rsid w:val="00D92727"/>
    <w:rsid w:val="00D92982"/>
    <w:rsid w:val="00D939C6"/>
    <w:rsid w:val="00DA305E"/>
    <w:rsid w:val="00DA5417"/>
    <w:rsid w:val="00DA56E8"/>
    <w:rsid w:val="00DB0121"/>
    <w:rsid w:val="00DB09F6"/>
    <w:rsid w:val="00DB0A9F"/>
    <w:rsid w:val="00DB303D"/>
    <w:rsid w:val="00DB377D"/>
    <w:rsid w:val="00DC0E73"/>
    <w:rsid w:val="00DC1AE3"/>
    <w:rsid w:val="00DC2D36"/>
    <w:rsid w:val="00DC2F99"/>
    <w:rsid w:val="00DC53EF"/>
    <w:rsid w:val="00DE5608"/>
    <w:rsid w:val="00DE58D0"/>
    <w:rsid w:val="00DE654F"/>
    <w:rsid w:val="00DE6F35"/>
    <w:rsid w:val="00DE76AB"/>
    <w:rsid w:val="00DF0B6E"/>
    <w:rsid w:val="00DF15E0"/>
    <w:rsid w:val="00DF37A0"/>
    <w:rsid w:val="00E110E7"/>
    <w:rsid w:val="00E11B20"/>
    <w:rsid w:val="00E15E57"/>
    <w:rsid w:val="00E16290"/>
    <w:rsid w:val="00E17FA2"/>
    <w:rsid w:val="00E20E94"/>
    <w:rsid w:val="00E22330"/>
    <w:rsid w:val="00E30B5A"/>
    <w:rsid w:val="00E3123D"/>
    <w:rsid w:val="00E31461"/>
    <w:rsid w:val="00E31D43"/>
    <w:rsid w:val="00E32608"/>
    <w:rsid w:val="00E32EA9"/>
    <w:rsid w:val="00E34188"/>
    <w:rsid w:val="00E34B6E"/>
    <w:rsid w:val="00E34C8C"/>
    <w:rsid w:val="00E35559"/>
    <w:rsid w:val="00E3723A"/>
    <w:rsid w:val="00E37860"/>
    <w:rsid w:val="00E446F1"/>
    <w:rsid w:val="00E46886"/>
    <w:rsid w:val="00E46E3F"/>
    <w:rsid w:val="00E47AEF"/>
    <w:rsid w:val="00E53B75"/>
    <w:rsid w:val="00E54E3B"/>
    <w:rsid w:val="00E57565"/>
    <w:rsid w:val="00E63838"/>
    <w:rsid w:val="00E64434"/>
    <w:rsid w:val="00E64B43"/>
    <w:rsid w:val="00E67C51"/>
    <w:rsid w:val="00E72EFC"/>
    <w:rsid w:val="00E758EC"/>
    <w:rsid w:val="00E811AE"/>
    <w:rsid w:val="00E8234C"/>
    <w:rsid w:val="00E83AA9"/>
    <w:rsid w:val="00E85928"/>
    <w:rsid w:val="00E87822"/>
    <w:rsid w:val="00E90395"/>
    <w:rsid w:val="00E90E49"/>
    <w:rsid w:val="00E917F9"/>
    <w:rsid w:val="00E919B6"/>
    <w:rsid w:val="00E9291C"/>
    <w:rsid w:val="00E93FFE"/>
    <w:rsid w:val="00E94F8A"/>
    <w:rsid w:val="00EA7A41"/>
    <w:rsid w:val="00EB077B"/>
    <w:rsid w:val="00EB4EA2"/>
    <w:rsid w:val="00EB69D5"/>
    <w:rsid w:val="00EC24D5"/>
    <w:rsid w:val="00EC27C6"/>
    <w:rsid w:val="00EC2BC1"/>
    <w:rsid w:val="00EC4207"/>
    <w:rsid w:val="00EC4BDB"/>
    <w:rsid w:val="00EC5653"/>
    <w:rsid w:val="00EC71CE"/>
    <w:rsid w:val="00EC7B3F"/>
    <w:rsid w:val="00ED1006"/>
    <w:rsid w:val="00ED134F"/>
    <w:rsid w:val="00ED5BA0"/>
    <w:rsid w:val="00EF18FE"/>
    <w:rsid w:val="00EF454E"/>
    <w:rsid w:val="00EF5787"/>
    <w:rsid w:val="00EF60D0"/>
    <w:rsid w:val="00F005DF"/>
    <w:rsid w:val="00F0528D"/>
    <w:rsid w:val="00F0551A"/>
    <w:rsid w:val="00F06C67"/>
    <w:rsid w:val="00F06DC2"/>
    <w:rsid w:val="00F06DFD"/>
    <w:rsid w:val="00F071D1"/>
    <w:rsid w:val="00F07533"/>
    <w:rsid w:val="00F10629"/>
    <w:rsid w:val="00F12B1D"/>
    <w:rsid w:val="00F15FA5"/>
    <w:rsid w:val="00F209B7"/>
    <w:rsid w:val="00F2376F"/>
    <w:rsid w:val="00F243D8"/>
    <w:rsid w:val="00F30828"/>
    <w:rsid w:val="00F313D6"/>
    <w:rsid w:val="00F3793A"/>
    <w:rsid w:val="00F37A85"/>
    <w:rsid w:val="00F406DD"/>
    <w:rsid w:val="00F40F0C"/>
    <w:rsid w:val="00F4139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2C"/>
    <w:rsid w:val="00F75582"/>
    <w:rsid w:val="00F76EFA"/>
    <w:rsid w:val="00F804BE"/>
    <w:rsid w:val="00F817CE"/>
    <w:rsid w:val="00F8456C"/>
    <w:rsid w:val="00F859D8"/>
    <w:rsid w:val="00F868F5"/>
    <w:rsid w:val="00F9056A"/>
    <w:rsid w:val="00F90F8D"/>
    <w:rsid w:val="00F92782"/>
    <w:rsid w:val="00F933DB"/>
    <w:rsid w:val="00F93AA9"/>
    <w:rsid w:val="00F9593A"/>
    <w:rsid w:val="00F96985"/>
    <w:rsid w:val="00F97838"/>
    <w:rsid w:val="00FA2BB3"/>
    <w:rsid w:val="00FA3255"/>
    <w:rsid w:val="00FB3F33"/>
    <w:rsid w:val="00FB4C80"/>
    <w:rsid w:val="00FB6A6A"/>
    <w:rsid w:val="00FB744D"/>
    <w:rsid w:val="00FC26D7"/>
    <w:rsid w:val="00FC7429"/>
    <w:rsid w:val="00FC755E"/>
    <w:rsid w:val="00FD07F6"/>
    <w:rsid w:val="00FD1EC8"/>
    <w:rsid w:val="00FD47ED"/>
    <w:rsid w:val="00FD4F3E"/>
    <w:rsid w:val="00FD74DB"/>
    <w:rsid w:val="00FD7660"/>
    <w:rsid w:val="00FE0655"/>
    <w:rsid w:val="00FE2365"/>
    <w:rsid w:val="00FE37D7"/>
    <w:rsid w:val="00FE4B1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065"/>
    <w:pPr>
      <w:overflowPunct w:val="0"/>
      <w:autoSpaceDE w:val="0"/>
      <w:autoSpaceDN w:val="0"/>
      <w:adjustRightInd w:val="0"/>
      <w:spacing w:after="180"/>
      <w:textAlignment w:val="baseline"/>
    </w:pPr>
    <w:rPr>
      <w:rFonts w:ascii="Arial" w:hAnsi="Arial"/>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061065"/>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qFormat/>
    <w:rsid w:val="00B228A4"/>
    <w:pPr>
      <w:numPr>
        <w:numId w:val="30"/>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Normal"/>
    <w:qFormat/>
    <w:rsid w:val="0020587C"/>
    <w:pPr>
      <w:numPr>
        <w:numId w:val="13"/>
      </w:numPr>
      <w:tabs>
        <w:tab w:val="left" w:pos="1701"/>
      </w:tabs>
      <w:spacing w:after="120"/>
      <w:ind w:left="1701" w:hanging="1701"/>
      <w:jc w:val="both"/>
    </w:pPr>
    <w:rPr>
      <w:b/>
      <w:bCs/>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eastAsia="MS Mincho"/>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eastAsia="Malgun Gothic"/>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style>
  <w:style w:type="paragraph" w:styleId="ListContinue2">
    <w:name w:val="List Continue 2"/>
    <w:basedOn w:val="Normal"/>
    <w:rsid w:val="006D5189"/>
    <w:pPr>
      <w:spacing w:after="120"/>
      <w:ind w:left="566"/>
      <w:contextualSpacing/>
    </w:pPr>
  </w:style>
  <w:style w:type="paragraph" w:styleId="ListNumber3">
    <w:name w:val="List Number 3"/>
    <w:basedOn w:val="ListNumber2"/>
    <w:rsid w:val="006D5189"/>
    <w:pPr>
      <w:numPr>
        <w:numId w:val="10"/>
      </w:numPr>
      <w:contextualSpacing/>
    </w:p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9734">
      <w:bodyDiv w:val="1"/>
      <w:marLeft w:val="0"/>
      <w:marRight w:val="0"/>
      <w:marTop w:val="0"/>
      <w:marBottom w:val="0"/>
      <w:divBdr>
        <w:top w:val="none" w:sz="0" w:space="0" w:color="auto"/>
        <w:left w:val="none" w:sz="0" w:space="0" w:color="auto"/>
        <w:bottom w:val="none" w:sz="0" w:space="0" w:color="auto"/>
        <w:right w:val="none" w:sz="0" w:space="0" w:color="auto"/>
      </w:divBdr>
    </w:div>
    <w:div w:id="79856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6FA79-7CA1-46C6-A89E-0CCB7B202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3.xml><?xml version="1.0" encoding="utf-8"?>
<ds:datastoreItem xmlns:ds="http://schemas.openxmlformats.org/officeDocument/2006/customXml" ds:itemID="{CE285EBD-410E-4925-BC11-4A0354D8C210}">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F518166-5B9A-48C0-9433-5491B1406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2</Pages>
  <Words>720</Words>
  <Characters>3820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2019-08-15T18:50:00Z</dcterms:created>
  <dcterms:modified xsi:type="dcterms:W3CDTF">2019-08-15T18:50:00Z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f454a066-6c0e-40b6-a3cc-e25bbc4a1f09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191</vt:lpwstr>
  </property>
  <property fmtid="{D5CDD505-2E9C-101B-9397-08002B2CF9AE}" pid="15" name="AuthorIds_UIVersion_1536">
    <vt:lpwstr>236</vt:lpwstr>
  </property>
  <property fmtid="{D5CDD505-2E9C-101B-9397-08002B2CF9AE}" pid="16" name="AuthorIds_UIVersion_2560">
    <vt:lpwstr>357</vt:lpwstr>
  </property>
  <property fmtid="{D5CDD505-2E9C-101B-9397-08002B2CF9AE}" pid="17" name="AuthorIds_UIVersion_3072">
    <vt:lpwstr>201</vt:lpwstr>
  </property>
  <property fmtid="{D5CDD505-2E9C-101B-9397-08002B2CF9AE}" pid="18" name="AuthorIds_UIVersion_4608">
    <vt:lpwstr>270</vt:lpwstr>
  </property>
  <property fmtid="{D5CDD505-2E9C-101B-9397-08002B2CF9AE}" pid="19" name="AuthorIds_UIVersion_6144">
    <vt:lpwstr>270</vt:lpwstr>
  </property>
  <property fmtid="{D5CDD505-2E9C-101B-9397-08002B2CF9AE}" pid="20" name="AuthorIds_UIVersion_1024">
    <vt:lpwstr>201</vt:lpwstr>
  </property>
  <property fmtid="{D5CDD505-2E9C-101B-9397-08002B2CF9AE}" pid="21" name="AuthorIds_UIVersion_2048">
    <vt:lpwstr>270</vt:lpwstr>
  </property>
</Properties>
</file>